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B81" w:rsidRDefault="006F5B81">
      <w:pPr>
        <w:pStyle w:val="Title"/>
      </w:pPr>
      <w:r>
        <w:t>Infrared Spectra of Pure Liquids</w:t>
      </w:r>
    </w:p>
    <w:p w:rsidR="006F5B81" w:rsidRDefault="006F5B81">
      <w:pPr>
        <w:pStyle w:val="Title"/>
      </w:pPr>
      <w:r>
        <w:t>using the thermonicolet ftir</w:t>
      </w:r>
    </w:p>
    <w:p w:rsidR="006F5B81" w:rsidRDefault="006F5B81">
      <w:pPr>
        <w:rPr>
          <w:rFonts w:ascii="Times New Roman" w:hAnsi="Times New Roman"/>
          <w:b/>
          <w:sz w:val="28"/>
        </w:rPr>
      </w:pPr>
    </w:p>
    <w:p w:rsidR="006F5B81" w:rsidRDefault="006F5B81">
      <w:pPr>
        <w:rPr>
          <w:rFonts w:ascii="Times New Roman" w:hAnsi="Times New Roman"/>
          <w:b/>
          <w:sz w:val="24"/>
        </w:rPr>
      </w:pPr>
      <w:r>
        <w:rPr>
          <w:rFonts w:ascii="Times New Roman" w:hAnsi="Times New Roman"/>
          <w:b/>
          <w:sz w:val="24"/>
        </w:rPr>
        <w:t>Introduction:</w:t>
      </w:r>
    </w:p>
    <w:p w:rsidR="006F5B81" w:rsidRDefault="006F5B81">
      <w:pPr>
        <w:tabs>
          <w:tab w:val="left" w:pos="450"/>
        </w:tabs>
        <w:ind w:right="-180"/>
        <w:rPr>
          <w:rFonts w:ascii="Times New Roman" w:hAnsi="Times New Roman"/>
          <w:sz w:val="24"/>
        </w:rPr>
      </w:pPr>
      <w:r>
        <w:rPr>
          <w:rFonts w:ascii="Times New Roman" w:hAnsi="Times New Roman"/>
          <w:sz w:val="24"/>
        </w:rPr>
        <w:tab/>
      </w:r>
    </w:p>
    <w:p w:rsidR="006F5B81" w:rsidRDefault="006F5B81">
      <w:pPr>
        <w:tabs>
          <w:tab w:val="left" w:pos="450"/>
        </w:tabs>
        <w:ind w:right="-180"/>
        <w:rPr>
          <w:rFonts w:ascii="Times New Roman" w:hAnsi="Times New Roman"/>
          <w:sz w:val="24"/>
        </w:rPr>
      </w:pPr>
      <w:r>
        <w:rPr>
          <w:rFonts w:ascii="Times New Roman" w:hAnsi="Times New Roman"/>
          <w:sz w:val="24"/>
        </w:rPr>
        <w:t>Perhaps the simplest, most common method of sample preparation for the infrared spectral examination of liquids involves placing an undiluted sample between a pair of transparent crystal windows.  The windows or cells are held together and placed in the sample holder of the spectrometer.  The spectrum is then obtained.  This spectrum is one of the most characteristic physical properties of the sample.  If no solvent or matrix interference and/or interactions are present to contribute to difficulties in interpretation and identification, the spectrum should be easy to read or compare to a reference spectrum.  This experiment will familiarize the operator with the various techniques for preparing samples of pure liquids.</w:t>
      </w:r>
    </w:p>
    <w:p w:rsidR="004F082C" w:rsidRDefault="004F082C">
      <w:pPr>
        <w:tabs>
          <w:tab w:val="left" w:pos="450"/>
        </w:tabs>
        <w:ind w:right="-180"/>
        <w:rPr>
          <w:rFonts w:ascii="Times New Roman" w:hAnsi="Times New Roman"/>
          <w:sz w:val="24"/>
        </w:rPr>
      </w:pPr>
    </w:p>
    <w:p w:rsidR="004F082C" w:rsidRPr="00196C61" w:rsidRDefault="004F082C" w:rsidP="004F082C">
      <w:pPr>
        <w:rPr>
          <w:rFonts w:ascii="Times New Roman" w:hAnsi="Times New Roman"/>
          <w:b/>
          <w:bCs/>
          <w:sz w:val="24"/>
          <w:u w:val="single"/>
        </w:rPr>
      </w:pPr>
      <w:r w:rsidRPr="00196C61">
        <w:rPr>
          <w:rFonts w:ascii="Times New Roman" w:hAnsi="Times New Roman"/>
          <w:b/>
          <w:bCs/>
          <w:sz w:val="24"/>
          <w:u w:val="single"/>
        </w:rPr>
        <w:t>Infrared Spectroscopy Theory:</w:t>
      </w:r>
    </w:p>
    <w:p w:rsidR="004F082C" w:rsidRPr="004361C7" w:rsidRDefault="004F082C" w:rsidP="004F082C">
      <w:pPr>
        <w:rPr>
          <w:rFonts w:ascii="Times New Roman" w:hAnsi="Times New Roman"/>
          <w:sz w:val="24"/>
        </w:rPr>
      </w:pPr>
      <w:r w:rsidRPr="004361C7">
        <w:rPr>
          <w:rFonts w:ascii="Times New Roman" w:hAnsi="Times New Roman"/>
          <w:sz w:val="24"/>
        </w:rPr>
        <w:tab/>
        <w:t>The infrared spectrometer (</w:t>
      </w:r>
      <w:r w:rsidRPr="004361C7">
        <w:rPr>
          <w:rFonts w:ascii="Times New Roman" w:hAnsi="Times New Roman"/>
          <w:b/>
          <w:sz w:val="24"/>
        </w:rPr>
        <w:t>IR</w:t>
      </w:r>
      <w:r w:rsidRPr="004361C7">
        <w:rPr>
          <w:rFonts w:ascii="Times New Roman" w:hAnsi="Times New Roman"/>
          <w:sz w:val="24"/>
        </w:rPr>
        <w:t>) is an essential instrument for organic chemical analysis.  Using a small amount of sample, the chemist can gain valuable insight into the bond structure and, thus, the identity of the compound.  Areas in which infrared spectroscopy is used include:  crime lab work, reaction monitoring, quality control of a manufacturing process, and any other situation in which organic (carbon containing) compounds need to be identified.</w:t>
      </w:r>
    </w:p>
    <w:p w:rsidR="004F082C" w:rsidRPr="004361C7" w:rsidRDefault="004F082C" w:rsidP="004F082C">
      <w:pPr>
        <w:rPr>
          <w:rFonts w:ascii="Times New Roman" w:hAnsi="Times New Roman"/>
          <w:sz w:val="24"/>
        </w:rPr>
      </w:pPr>
    </w:p>
    <w:p w:rsidR="004F082C" w:rsidRPr="004361C7" w:rsidRDefault="004F082C" w:rsidP="004F082C">
      <w:pPr>
        <w:rPr>
          <w:rFonts w:ascii="Times New Roman" w:hAnsi="Times New Roman"/>
          <w:sz w:val="24"/>
        </w:rPr>
      </w:pPr>
      <w:r w:rsidRPr="004361C7">
        <w:rPr>
          <w:rFonts w:ascii="Times New Roman" w:hAnsi="Times New Roman"/>
          <w:sz w:val="24"/>
        </w:rPr>
        <w:tab/>
        <w:t>The IR instrument uses a portion of the light spectrum called infrared, which is next to and has a longer wavelength than visible red light.  Infrared light is measured in units called wavenumbers, which are the reciprocal of wavelength.</w:t>
      </w:r>
    </w:p>
    <w:p w:rsidR="004F082C" w:rsidRPr="004361C7" w:rsidRDefault="004F082C" w:rsidP="004F082C">
      <w:pPr>
        <w:rPr>
          <w:rFonts w:ascii="Times New Roman" w:hAnsi="Times New Roman"/>
          <w:sz w:val="24"/>
        </w:rPr>
      </w:pPr>
    </w:p>
    <w:p w:rsidR="004F082C" w:rsidRPr="004361C7" w:rsidRDefault="004F082C" w:rsidP="004F082C">
      <w:pPr>
        <w:rPr>
          <w:rFonts w:ascii="Times New Roman" w:hAnsi="Times New Roman"/>
          <w:sz w:val="24"/>
        </w:rPr>
      </w:pPr>
      <w:r w:rsidRPr="004361C7">
        <w:rPr>
          <w:rFonts w:ascii="Times New Roman" w:hAnsi="Times New Roman"/>
          <w:sz w:val="24"/>
        </w:rPr>
        <w:t>wavenumber (cm</w:t>
      </w:r>
      <w:r w:rsidRPr="004361C7">
        <w:rPr>
          <w:rFonts w:ascii="Times New Roman" w:hAnsi="Times New Roman"/>
          <w:position w:val="6"/>
          <w:sz w:val="24"/>
        </w:rPr>
        <w:t>-1</w:t>
      </w:r>
      <w:r w:rsidRPr="004361C7">
        <w:rPr>
          <w:rFonts w:ascii="Times New Roman" w:hAnsi="Times New Roman"/>
          <w:sz w:val="24"/>
        </w:rPr>
        <w:t>) = 1 / wavelength (cm)</w:t>
      </w:r>
    </w:p>
    <w:p w:rsidR="004F082C" w:rsidRPr="004361C7" w:rsidRDefault="004F082C" w:rsidP="004F082C">
      <w:pPr>
        <w:rPr>
          <w:rFonts w:ascii="Times New Roman" w:hAnsi="Times New Roman"/>
          <w:sz w:val="24"/>
        </w:rPr>
      </w:pPr>
    </w:p>
    <w:p w:rsidR="004F082C" w:rsidRPr="004361C7" w:rsidRDefault="004F082C" w:rsidP="004F082C">
      <w:pPr>
        <w:rPr>
          <w:rFonts w:ascii="Times New Roman" w:hAnsi="Times New Roman"/>
          <w:sz w:val="24"/>
        </w:rPr>
      </w:pPr>
      <w:r w:rsidRPr="004361C7">
        <w:rPr>
          <w:rFonts w:ascii="Times New Roman" w:hAnsi="Times New Roman"/>
          <w:sz w:val="24"/>
        </w:rPr>
        <w:t>The infrared spectrum covers wavenumbers 600 cm</w:t>
      </w:r>
      <w:r w:rsidRPr="004361C7">
        <w:rPr>
          <w:rFonts w:ascii="Times New Roman" w:hAnsi="Times New Roman"/>
          <w:position w:val="6"/>
          <w:sz w:val="24"/>
        </w:rPr>
        <w:t>-1</w:t>
      </w:r>
      <w:r w:rsidRPr="004361C7">
        <w:rPr>
          <w:rFonts w:ascii="Times New Roman" w:hAnsi="Times New Roman"/>
          <w:sz w:val="24"/>
        </w:rPr>
        <w:t xml:space="preserve"> to 4000 cm</w:t>
      </w:r>
      <w:r w:rsidRPr="004361C7">
        <w:rPr>
          <w:rFonts w:ascii="Times New Roman" w:hAnsi="Times New Roman"/>
          <w:position w:val="6"/>
          <w:sz w:val="24"/>
        </w:rPr>
        <w:t>-1</w:t>
      </w:r>
      <w:r w:rsidRPr="004361C7">
        <w:rPr>
          <w:rFonts w:ascii="Times New Roman" w:hAnsi="Times New Roman"/>
          <w:sz w:val="24"/>
        </w:rPr>
        <w:t>.</w:t>
      </w:r>
    </w:p>
    <w:p w:rsidR="004F082C" w:rsidRPr="004361C7" w:rsidRDefault="004F082C" w:rsidP="004F082C">
      <w:pPr>
        <w:rPr>
          <w:rFonts w:ascii="Times New Roman" w:hAnsi="Times New Roman"/>
          <w:sz w:val="24"/>
        </w:rPr>
      </w:pPr>
    </w:p>
    <w:p w:rsidR="004F082C" w:rsidRPr="004361C7" w:rsidRDefault="004F082C" w:rsidP="004F082C">
      <w:pPr>
        <w:rPr>
          <w:rFonts w:ascii="Times New Roman" w:hAnsi="Times New Roman"/>
          <w:sz w:val="24"/>
        </w:rPr>
      </w:pPr>
      <w:r w:rsidRPr="004361C7">
        <w:rPr>
          <w:rFonts w:ascii="Times New Roman" w:hAnsi="Times New Roman"/>
          <w:sz w:val="24"/>
        </w:rPr>
        <w:tab/>
        <w:t>Unlike visible light, infrared light can not be seen.  It can, however, be detected as heat.  When your body feels heat, it is really infrared radiation that it is feeling.  Increased temperature is a measure of increased molecular motion.  Heat sources such as infrared light make molecules move in a variety of ways.</w:t>
      </w:r>
    </w:p>
    <w:p w:rsidR="004F082C" w:rsidRPr="004361C7" w:rsidRDefault="004F082C" w:rsidP="004F082C">
      <w:pPr>
        <w:rPr>
          <w:rFonts w:ascii="Times New Roman" w:hAnsi="Times New Roman"/>
          <w:sz w:val="24"/>
        </w:rPr>
      </w:pPr>
    </w:p>
    <w:p w:rsidR="004F082C" w:rsidRPr="004361C7" w:rsidRDefault="004F082C" w:rsidP="004F082C">
      <w:pPr>
        <w:rPr>
          <w:rFonts w:ascii="Times New Roman" w:hAnsi="Times New Roman"/>
          <w:sz w:val="24"/>
        </w:rPr>
      </w:pPr>
      <w:r w:rsidRPr="004361C7">
        <w:rPr>
          <w:rFonts w:ascii="Times New Roman" w:hAnsi="Times New Roman"/>
          <w:sz w:val="24"/>
        </w:rPr>
        <w:tab/>
        <w:t>Two of the most significant types of molecular motion are stretching and bending of bonds within the molecule.</w:t>
      </w:r>
    </w:p>
    <w:p w:rsidR="004F082C" w:rsidRPr="004361C7" w:rsidRDefault="00860FB4" w:rsidP="004F082C">
      <w:pPr>
        <w:rPr>
          <w:rFonts w:ascii="Times New Roman" w:hAnsi="Times New Roman"/>
          <w:sz w:val="24"/>
        </w:rPr>
      </w:pPr>
      <w:r w:rsidRPr="004361C7">
        <w:rPr>
          <w:rFonts w:ascii="Times New Roman" w:hAnsi="Times New Roman"/>
          <w:noProof/>
          <w:sz w:val="24"/>
        </w:rPr>
        <w:drawing>
          <wp:inline distT="0" distB="0" distL="0" distR="0">
            <wp:extent cx="6086475" cy="1371600"/>
            <wp:effectExtent l="0" t="0" r="9525" b="0"/>
            <wp:docPr id="1" name="Picture 1" title="stretching and be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t="7999" b="48000"/>
                    <a:stretch>
                      <a:fillRect/>
                    </a:stretch>
                  </pic:blipFill>
                  <pic:spPr bwMode="auto">
                    <a:xfrm>
                      <a:off x="0" y="0"/>
                      <a:ext cx="6086475" cy="1371600"/>
                    </a:xfrm>
                    <a:prstGeom prst="rect">
                      <a:avLst/>
                    </a:prstGeom>
                    <a:noFill/>
                    <a:ln>
                      <a:noFill/>
                    </a:ln>
                  </pic:spPr>
                </pic:pic>
              </a:graphicData>
            </a:graphic>
          </wp:inline>
        </w:drawing>
      </w:r>
    </w:p>
    <w:p w:rsidR="004F082C" w:rsidRDefault="004F082C" w:rsidP="004F082C">
      <w:pPr>
        <w:rPr>
          <w:rFonts w:ascii="Times New Roman" w:hAnsi="Times New Roman"/>
          <w:sz w:val="24"/>
        </w:rPr>
      </w:pPr>
      <w:r w:rsidRPr="004361C7">
        <w:rPr>
          <w:rFonts w:ascii="Times New Roman" w:hAnsi="Times New Roman"/>
          <w:sz w:val="24"/>
        </w:rPr>
        <w:tab/>
        <w:t>To cause a particular bend or stretch, a specific wavenumber of infrared light is r</w:t>
      </w:r>
      <w:r>
        <w:rPr>
          <w:rFonts w:ascii="Times New Roman" w:hAnsi="Times New Roman"/>
          <w:sz w:val="24"/>
        </w:rPr>
        <w:t xml:space="preserve">equired.  For example, a photon, a unit of light, </w:t>
      </w:r>
      <w:r w:rsidRPr="004361C7">
        <w:rPr>
          <w:rFonts w:ascii="Times New Roman" w:hAnsi="Times New Roman"/>
          <w:sz w:val="24"/>
        </w:rPr>
        <w:t>with a wavenumber of 2900 cm</w:t>
      </w:r>
      <w:r w:rsidRPr="004361C7">
        <w:rPr>
          <w:rFonts w:ascii="Times New Roman" w:hAnsi="Times New Roman"/>
          <w:position w:val="6"/>
          <w:sz w:val="24"/>
        </w:rPr>
        <w:t>-1</w:t>
      </w:r>
      <w:r w:rsidRPr="004361C7">
        <w:rPr>
          <w:rFonts w:ascii="Times New Roman" w:hAnsi="Times New Roman"/>
          <w:sz w:val="24"/>
        </w:rPr>
        <w:t xml:space="preserve"> will cause a C-H stretch (a stretch between carbon and hydrogen atoms within a molecule).  However, 2900 cm</w:t>
      </w:r>
      <w:r w:rsidRPr="004361C7">
        <w:rPr>
          <w:rFonts w:ascii="Times New Roman" w:hAnsi="Times New Roman"/>
          <w:position w:val="6"/>
          <w:sz w:val="24"/>
        </w:rPr>
        <w:t>-1</w:t>
      </w:r>
      <w:r w:rsidRPr="004361C7">
        <w:rPr>
          <w:rFonts w:ascii="Times New Roman" w:hAnsi="Times New Roman"/>
          <w:sz w:val="24"/>
        </w:rPr>
        <w:t xml:space="preserve"> will </w:t>
      </w:r>
      <w:r w:rsidRPr="004361C7">
        <w:rPr>
          <w:rFonts w:ascii="Times New Roman" w:hAnsi="Times New Roman"/>
          <w:sz w:val="24"/>
          <w:u w:val="single"/>
        </w:rPr>
        <w:t>not</w:t>
      </w:r>
      <w:r w:rsidRPr="004361C7">
        <w:rPr>
          <w:rFonts w:ascii="Times New Roman" w:hAnsi="Times New Roman"/>
          <w:sz w:val="24"/>
        </w:rPr>
        <w:t xml:space="preserve"> cause O-H bonds to stretch because O-H does not absorb this frequency.  Therefore, if we measure an absorbance at 2900 </w:t>
      </w:r>
      <w:r w:rsidRPr="004361C7">
        <w:rPr>
          <w:rFonts w:ascii="Times New Roman" w:hAnsi="Times New Roman"/>
          <w:sz w:val="24"/>
        </w:rPr>
        <w:lastRenderedPageBreak/>
        <w:t>cm</w:t>
      </w:r>
      <w:r w:rsidRPr="004361C7">
        <w:rPr>
          <w:rFonts w:ascii="Times New Roman" w:hAnsi="Times New Roman"/>
          <w:position w:val="6"/>
          <w:sz w:val="24"/>
        </w:rPr>
        <w:t>-1</w:t>
      </w:r>
      <w:r w:rsidRPr="004361C7">
        <w:rPr>
          <w:rFonts w:ascii="Times New Roman" w:hAnsi="Times New Roman"/>
          <w:sz w:val="24"/>
        </w:rPr>
        <w:t>, we know we have C-H bonds present in the molecule</w:t>
      </w:r>
      <w:r>
        <w:rPr>
          <w:rFonts w:ascii="Times New Roman" w:hAnsi="Times New Roman"/>
          <w:sz w:val="24"/>
        </w:rPr>
        <w:t xml:space="preserve"> (refer to the attached IR Peak Location Index)</w:t>
      </w:r>
      <w:r w:rsidRPr="004361C7">
        <w:rPr>
          <w:rFonts w:ascii="Times New Roman" w:hAnsi="Times New Roman"/>
          <w:sz w:val="24"/>
        </w:rPr>
        <w:t xml:space="preserve">.  Other combinations of bonded atoms will absorb photons of other infrared frequencies.  The collection of all </w:t>
      </w:r>
      <w:proofErr w:type="spellStart"/>
      <w:r w:rsidRPr="004361C7">
        <w:rPr>
          <w:rFonts w:ascii="Times New Roman" w:hAnsi="Times New Roman"/>
          <w:sz w:val="24"/>
        </w:rPr>
        <w:t>absorbances</w:t>
      </w:r>
      <w:proofErr w:type="spellEnd"/>
      <w:r w:rsidRPr="004361C7">
        <w:rPr>
          <w:rFonts w:ascii="Times New Roman" w:hAnsi="Times New Roman"/>
          <w:sz w:val="24"/>
        </w:rPr>
        <w:t xml:space="preserve"> between 600 and 4000 cm</w:t>
      </w:r>
      <w:r w:rsidRPr="004361C7">
        <w:rPr>
          <w:rFonts w:ascii="Times New Roman" w:hAnsi="Times New Roman"/>
          <w:position w:val="6"/>
          <w:sz w:val="24"/>
        </w:rPr>
        <w:t>-1</w:t>
      </w:r>
      <w:r w:rsidRPr="004361C7">
        <w:rPr>
          <w:rFonts w:ascii="Times New Roman" w:hAnsi="Times New Roman"/>
          <w:sz w:val="24"/>
        </w:rPr>
        <w:t xml:space="preserve"> constitutes the infrared spectrum for that molecule.  This can be thought of as a molecular fingerprint.  Just as people have unique fingerprints, molecules also have unique fingerprints.  Identical molecules have identical fingerprints.  Since every molecule has a unique arrangement of bonded atoms, every molecule absorbs a different set of infrared frequencies.  For example, all molecules or samples of ethyl alcohol will have identical fingerprints (infrared spectra), but a sample of rubbing alcohol (propanol) will have a different fingerprint than ethyl alcohol.</w:t>
      </w:r>
    </w:p>
    <w:p w:rsidR="008B50E3" w:rsidRDefault="008B50E3" w:rsidP="004F082C">
      <w:pPr>
        <w:rPr>
          <w:rFonts w:ascii="Times New Roman" w:hAnsi="Times New Roman"/>
          <w:sz w:val="24"/>
        </w:rPr>
      </w:pPr>
    </w:p>
    <w:p w:rsidR="004F082C" w:rsidRPr="008B50E3" w:rsidRDefault="00860FB4" w:rsidP="004F082C">
      <w:pPr>
        <w:rPr>
          <w:rFonts w:ascii="Times New Roman" w:hAnsi="Times New Roman"/>
          <w:b/>
          <w:bCs/>
          <w:sz w:val="24"/>
        </w:rPr>
      </w:pPr>
      <w:r>
        <w:rPr>
          <w:noProof/>
        </w:rPr>
        <mc:AlternateContent>
          <mc:Choice Requires="wps">
            <w:drawing>
              <wp:inline distT="0" distB="0" distL="0" distR="0">
                <wp:extent cx="3467100" cy="2857500"/>
                <wp:effectExtent l="0" t="0" r="19050" b="19050"/>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2857500"/>
                        </a:xfrm>
                        <a:prstGeom prst="rect">
                          <a:avLst/>
                        </a:prstGeom>
                        <a:solidFill>
                          <a:srgbClr val="FFFFFF"/>
                        </a:solidFill>
                        <a:ln w="9525">
                          <a:solidFill>
                            <a:srgbClr val="000000"/>
                          </a:solidFill>
                          <a:miter lim="800000"/>
                          <a:headEnd/>
                          <a:tailEnd/>
                        </a:ln>
                      </wps:spPr>
                      <wps:txbx>
                        <w:txbxContent>
                          <w:p w:rsidR="004F082C" w:rsidRPr="00FF3607" w:rsidRDefault="004F082C" w:rsidP="004F082C">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A </w:t>
                            </w:r>
                            <w:r w:rsidRPr="00FF3607">
                              <w:rPr>
                                <w:rFonts w:ascii="Times New Roman" w:hAnsi="Times New Roman"/>
                                <w:i/>
                                <w:iCs/>
                                <w:sz w:val="18"/>
                                <w:szCs w:val="18"/>
                              </w:rPr>
                              <w:t>source</w:t>
                            </w:r>
                            <w:r w:rsidRPr="00FF3607">
                              <w:rPr>
                                <w:rFonts w:ascii="Times New Roman" w:hAnsi="Times New Roman"/>
                                <w:sz w:val="18"/>
                                <w:szCs w:val="18"/>
                              </w:rPr>
                              <w:t xml:space="preserve"> generates light across the spectrum of interest. </w:t>
                            </w:r>
                          </w:p>
                          <w:p w:rsidR="004F082C" w:rsidRPr="00FF3607" w:rsidRDefault="004F082C" w:rsidP="004F082C">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A </w:t>
                            </w:r>
                            <w:r w:rsidRPr="00FF3607">
                              <w:rPr>
                                <w:rFonts w:ascii="Times New Roman" w:hAnsi="Times New Roman"/>
                                <w:i/>
                                <w:iCs/>
                                <w:sz w:val="18"/>
                                <w:szCs w:val="18"/>
                              </w:rPr>
                              <w:t>monochromater</w:t>
                            </w:r>
                            <w:r w:rsidRPr="00FF3607">
                              <w:rPr>
                                <w:rFonts w:ascii="Times New Roman" w:hAnsi="Times New Roman"/>
                                <w:sz w:val="18"/>
                                <w:szCs w:val="18"/>
                              </w:rPr>
                              <w:t xml:space="preserve"> (in IR this can be either a salt prism or a grating with finely spaced etched lines) separates the source radiation into its different wavelengths. </w:t>
                            </w:r>
                          </w:p>
                          <w:p w:rsidR="004F082C" w:rsidRPr="00FF3607" w:rsidRDefault="004F082C" w:rsidP="004F082C">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A </w:t>
                            </w:r>
                            <w:r w:rsidRPr="00FF3607">
                              <w:rPr>
                                <w:rFonts w:ascii="Times New Roman" w:hAnsi="Times New Roman"/>
                                <w:i/>
                                <w:iCs/>
                                <w:sz w:val="18"/>
                                <w:szCs w:val="18"/>
                              </w:rPr>
                              <w:t>slit</w:t>
                            </w:r>
                            <w:r w:rsidRPr="00FF3607">
                              <w:rPr>
                                <w:rFonts w:ascii="Times New Roman" w:hAnsi="Times New Roman"/>
                                <w:sz w:val="18"/>
                                <w:szCs w:val="18"/>
                              </w:rPr>
                              <w:t xml:space="preserve"> selects the collection of wavelengths that shine through the sample at any given time. </w:t>
                            </w:r>
                          </w:p>
                          <w:p w:rsidR="004F082C" w:rsidRPr="00FF3607" w:rsidRDefault="004F082C" w:rsidP="004F082C">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In double beam operation, as shown in the diagram, a </w:t>
                            </w:r>
                            <w:r w:rsidRPr="00FF3607">
                              <w:rPr>
                                <w:rFonts w:ascii="Times New Roman" w:hAnsi="Times New Roman"/>
                                <w:i/>
                                <w:iCs/>
                                <w:sz w:val="18"/>
                                <w:szCs w:val="18"/>
                              </w:rPr>
                              <w:t>beam splitter</w:t>
                            </w:r>
                            <w:r w:rsidRPr="00FF3607">
                              <w:rPr>
                                <w:rFonts w:ascii="Times New Roman" w:hAnsi="Times New Roman"/>
                                <w:sz w:val="18"/>
                                <w:szCs w:val="18"/>
                              </w:rPr>
                              <w:t xml:space="preserve"> separates the incident beam in two; half goes to the sample, and half to a reference. </w:t>
                            </w:r>
                          </w:p>
                          <w:p w:rsidR="004F082C" w:rsidRPr="00FF3607" w:rsidRDefault="004F082C" w:rsidP="004F082C">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The </w:t>
                            </w:r>
                            <w:r w:rsidRPr="00FF3607">
                              <w:rPr>
                                <w:rFonts w:ascii="Times New Roman" w:hAnsi="Times New Roman"/>
                                <w:i/>
                                <w:iCs/>
                                <w:sz w:val="18"/>
                                <w:szCs w:val="18"/>
                              </w:rPr>
                              <w:t>sample</w:t>
                            </w:r>
                            <w:r w:rsidRPr="00FF3607">
                              <w:rPr>
                                <w:rFonts w:ascii="Times New Roman" w:hAnsi="Times New Roman"/>
                                <w:sz w:val="18"/>
                                <w:szCs w:val="18"/>
                              </w:rPr>
                              <w:t xml:space="preserve"> absorbs light according to its chemical properties. </w:t>
                            </w:r>
                          </w:p>
                          <w:p w:rsidR="004F082C" w:rsidRPr="00FF3607" w:rsidRDefault="004F082C" w:rsidP="004F082C">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A </w:t>
                            </w:r>
                            <w:r w:rsidRPr="00FF3607">
                              <w:rPr>
                                <w:rFonts w:ascii="Times New Roman" w:hAnsi="Times New Roman"/>
                                <w:i/>
                                <w:iCs/>
                                <w:sz w:val="18"/>
                                <w:szCs w:val="18"/>
                              </w:rPr>
                              <w:t>detector</w:t>
                            </w:r>
                            <w:r w:rsidRPr="00FF3607">
                              <w:rPr>
                                <w:rFonts w:ascii="Times New Roman" w:hAnsi="Times New Roman"/>
                                <w:sz w:val="18"/>
                                <w:szCs w:val="18"/>
                              </w:rPr>
                              <w:t xml:space="preserve"> collects the radiation that passes through the sample, and in double-beam operation, compares its energy to that going through the reference. </w:t>
                            </w:r>
                          </w:p>
                          <w:p w:rsidR="004F082C" w:rsidRPr="00BB28B1" w:rsidRDefault="004F082C" w:rsidP="004F082C">
                            <w:pPr>
                              <w:numPr>
                                <w:ilvl w:val="0"/>
                                <w:numId w:val="6"/>
                              </w:numPr>
                              <w:spacing w:after="100" w:afterAutospacing="1"/>
                            </w:pPr>
                            <w:r w:rsidRPr="00FF3607">
                              <w:rPr>
                                <w:rFonts w:ascii="Times New Roman" w:hAnsi="Times New Roman"/>
                                <w:sz w:val="18"/>
                                <w:szCs w:val="18"/>
                              </w:rPr>
                              <w:t>The detector puts out an electrical signal, which is normally</w:t>
                            </w:r>
                            <w:r w:rsidRPr="004361C7">
                              <w:rPr>
                                <w:rFonts w:ascii="Times New Roman" w:hAnsi="Times New Roman"/>
                              </w:rPr>
                              <w:t xml:space="preserve"> sent directly to an analog </w:t>
                            </w:r>
                            <w:r w:rsidRPr="004361C7">
                              <w:rPr>
                                <w:rFonts w:ascii="Times New Roman" w:hAnsi="Times New Roman"/>
                                <w:i/>
                                <w:iCs/>
                              </w:rPr>
                              <w:t>recorder</w:t>
                            </w:r>
                            <w:r w:rsidRPr="004361C7">
                              <w:rPr>
                                <w:rFonts w:ascii="Times New Roman" w:hAnsi="Times New Roman"/>
                              </w:rPr>
                              <w:t xml:space="preserve">.  A link between the </w:t>
                            </w:r>
                            <w:proofErr w:type="spellStart"/>
                            <w:r w:rsidRPr="004361C7">
                              <w:rPr>
                                <w:rFonts w:ascii="Times New Roman" w:hAnsi="Times New Roman"/>
                              </w:rPr>
                              <w:t>monochromater</w:t>
                            </w:r>
                            <w:proofErr w:type="spellEnd"/>
                            <w:r w:rsidRPr="004361C7">
                              <w:rPr>
                                <w:rFonts w:ascii="Times New Roman" w:hAnsi="Times New Roman"/>
                              </w:rPr>
                              <w:t xml:space="preserve"> and the recorder allows you to record energy as a function of frequency or wavelength, depending on how the recorder is calibrated. </w:t>
                            </w: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273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">
                <v:textbox>
                  <w:txbxContent>
                    <w:p w:rsidR="004F082C" w:rsidRPr="00FF3607" w:rsidRDefault="004F082C" w:rsidP="004F082C">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A </w:t>
                      </w:r>
                      <w:r w:rsidRPr="00FF3607">
                        <w:rPr>
                          <w:rFonts w:ascii="Times New Roman" w:hAnsi="Times New Roman"/>
                          <w:i/>
                          <w:iCs/>
                          <w:sz w:val="18"/>
                          <w:szCs w:val="18"/>
                        </w:rPr>
                        <w:t>source</w:t>
                      </w:r>
                      <w:r w:rsidRPr="00FF3607">
                        <w:rPr>
                          <w:rFonts w:ascii="Times New Roman" w:hAnsi="Times New Roman"/>
                          <w:sz w:val="18"/>
                          <w:szCs w:val="18"/>
                        </w:rPr>
                        <w:t xml:space="preserve"> generates light across the spectrum of interest. </w:t>
                      </w:r>
                    </w:p>
                    <w:p w:rsidR="004F082C" w:rsidRPr="00FF3607" w:rsidRDefault="004F082C" w:rsidP="004F082C">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A </w:t>
                      </w:r>
                      <w:r w:rsidRPr="00FF3607">
                        <w:rPr>
                          <w:rFonts w:ascii="Times New Roman" w:hAnsi="Times New Roman"/>
                          <w:i/>
                          <w:iCs/>
                          <w:sz w:val="18"/>
                          <w:szCs w:val="18"/>
                        </w:rPr>
                        <w:t>monochromater</w:t>
                      </w:r>
                      <w:r w:rsidRPr="00FF3607">
                        <w:rPr>
                          <w:rFonts w:ascii="Times New Roman" w:hAnsi="Times New Roman"/>
                          <w:sz w:val="18"/>
                          <w:szCs w:val="18"/>
                        </w:rPr>
                        <w:t xml:space="preserve"> (in IR this can be either a salt prism or a grating with finely spaced etched lines) separates the source radiation into its different wavelengths. </w:t>
                      </w:r>
                    </w:p>
                    <w:p w:rsidR="004F082C" w:rsidRPr="00FF3607" w:rsidRDefault="004F082C" w:rsidP="004F082C">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A </w:t>
                      </w:r>
                      <w:r w:rsidRPr="00FF3607">
                        <w:rPr>
                          <w:rFonts w:ascii="Times New Roman" w:hAnsi="Times New Roman"/>
                          <w:i/>
                          <w:iCs/>
                          <w:sz w:val="18"/>
                          <w:szCs w:val="18"/>
                        </w:rPr>
                        <w:t>slit</w:t>
                      </w:r>
                      <w:r w:rsidRPr="00FF3607">
                        <w:rPr>
                          <w:rFonts w:ascii="Times New Roman" w:hAnsi="Times New Roman"/>
                          <w:sz w:val="18"/>
                          <w:szCs w:val="18"/>
                        </w:rPr>
                        <w:t xml:space="preserve"> selects the collection of wavelengths that shine through the sample at any given time. </w:t>
                      </w:r>
                    </w:p>
                    <w:p w:rsidR="004F082C" w:rsidRPr="00FF3607" w:rsidRDefault="004F082C" w:rsidP="004F082C">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In double beam operation, as shown in the diagram, a </w:t>
                      </w:r>
                      <w:r w:rsidRPr="00FF3607">
                        <w:rPr>
                          <w:rFonts w:ascii="Times New Roman" w:hAnsi="Times New Roman"/>
                          <w:i/>
                          <w:iCs/>
                          <w:sz w:val="18"/>
                          <w:szCs w:val="18"/>
                        </w:rPr>
                        <w:t>beam splitter</w:t>
                      </w:r>
                      <w:r w:rsidRPr="00FF3607">
                        <w:rPr>
                          <w:rFonts w:ascii="Times New Roman" w:hAnsi="Times New Roman"/>
                          <w:sz w:val="18"/>
                          <w:szCs w:val="18"/>
                        </w:rPr>
                        <w:t xml:space="preserve"> separates the incident beam in two; half goes to the sample, and half to a reference. </w:t>
                      </w:r>
                    </w:p>
                    <w:p w:rsidR="004F082C" w:rsidRPr="00FF3607" w:rsidRDefault="004F082C" w:rsidP="004F082C">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The </w:t>
                      </w:r>
                      <w:r w:rsidRPr="00FF3607">
                        <w:rPr>
                          <w:rFonts w:ascii="Times New Roman" w:hAnsi="Times New Roman"/>
                          <w:i/>
                          <w:iCs/>
                          <w:sz w:val="18"/>
                          <w:szCs w:val="18"/>
                        </w:rPr>
                        <w:t>sample</w:t>
                      </w:r>
                      <w:r w:rsidRPr="00FF3607">
                        <w:rPr>
                          <w:rFonts w:ascii="Times New Roman" w:hAnsi="Times New Roman"/>
                          <w:sz w:val="18"/>
                          <w:szCs w:val="18"/>
                        </w:rPr>
                        <w:t xml:space="preserve"> absorbs light according to its chemical properties. </w:t>
                      </w:r>
                    </w:p>
                    <w:p w:rsidR="004F082C" w:rsidRPr="00FF3607" w:rsidRDefault="004F082C" w:rsidP="004F082C">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A </w:t>
                      </w:r>
                      <w:r w:rsidRPr="00FF3607">
                        <w:rPr>
                          <w:rFonts w:ascii="Times New Roman" w:hAnsi="Times New Roman"/>
                          <w:i/>
                          <w:iCs/>
                          <w:sz w:val="18"/>
                          <w:szCs w:val="18"/>
                        </w:rPr>
                        <w:t>detector</w:t>
                      </w:r>
                      <w:r w:rsidRPr="00FF3607">
                        <w:rPr>
                          <w:rFonts w:ascii="Times New Roman" w:hAnsi="Times New Roman"/>
                          <w:sz w:val="18"/>
                          <w:szCs w:val="18"/>
                        </w:rPr>
                        <w:t xml:space="preserve"> collects the radiation that passes through the sample, and in double-beam operation, compares its energy to that going through the reference. </w:t>
                      </w:r>
                    </w:p>
                    <w:p w:rsidR="004F082C" w:rsidRPr="00BB28B1" w:rsidRDefault="004F082C" w:rsidP="004F082C">
                      <w:pPr>
                        <w:numPr>
                          <w:ilvl w:val="0"/>
                          <w:numId w:val="6"/>
                        </w:numPr>
                        <w:spacing w:after="100" w:afterAutospacing="1"/>
                      </w:pPr>
                      <w:r w:rsidRPr="00FF3607">
                        <w:rPr>
                          <w:rFonts w:ascii="Times New Roman" w:hAnsi="Times New Roman"/>
                          <w:sz w:val="18"/>
                          <w:szCs w:val="18"/>
                        </w:rPr>
                        <w:t>The detector puts out an electrical signal, which is normally</w:t>
                      </w:r>
                      <w:r w:rsidRPr="004361C7">
                        <w:rPr>
                          <w:rFonts w:ascii="Times New Roman" w:hAnsi="Times New Roman"/>
                        </w:rPr>
                        <w:t xml:space="preserve"> sent directly to an analog </w:t>
                      </w:r>
                      <w:r w:rsidRPr="004361C7">
                        <w:rPr>
                          <w:rFonts w:ascii="Times New Roman" w:hAnsi="Times New Roman"/>
                          <w:i/>
                          <w:iCs/>
                        </w:rPr>
                        <w:t>recorder</w:t>
                      </w:r>
                      <w:r w:rsidRPr="004361C7">
                        <w:rPr>
                          <w:rFonts w:ascii="Times New Roman" w:hAnsi="Times New Roman"/>
                        </w:rPr>
                        <w:t xml:space="preserve">.  A link between the </w:t>
                      </w:r>
                      <w:proofErr w:type="spellStart"/>
                      <w:r w:rsidRPr="004361C7">
                        <w:rPr>
                          <w:rFonts w:ascii="Times New Roman" w:hAnsi="Times New Roman"/>
                        </w:rPr>
                        <w:t>monochromater</w:t>
                      </w:r>
                      <w:proofErr w:type="spellEnd"/>
                      <w:r w:rsidRPr="004361C7">
                        <w:rPr>
                          <w:rFonts w:ascii="Times New Roman" w:hAnsi="Times New Roman"/>
                        </w:rPr>
                        <w:t xml:space="preserve"> and the recorder allows you to record energy as a function of frequency or wavelength, depending on how the recorder is calibrated. </w:t>
                      </w:r>
                    </w:p>
                  </w:txbxContent>
                </v:textbox>
                <w10:anchorlock/>
              </v:shape>
            </w:pict>
          </mc:Fallback>
        </mc:AlternateContent>
      </w:r>
      <w:r w:rsidRPr="004361C7">
        <w:rPr>
          <w:rFonts w:ascii="Times New Roman" w:hAnsi="Times New Roman"/>
          <w:noProof/>
          <w:sz w:val="24"/>
        </w:rPr>
        <w:drawing>
          <wp:inline distT="0" distB="0" distL="0" distR="0">
            <wp:extent cx="2952750" cy="2228850"/>
            <wp:effectExtent l="0" t="0" r="0" b="0"/>
            <wp:docPr id="2" name="Picture 2" title="FTIR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2228850"/>
                    </a:xfrm>
                    <a:prstGeom prst="rect">
                      <a:avLst/>
                    </a:prstGeom>
                    <a:noFill/>
                    <a:ln>
                      <a:noFill/>
                    </a:ln>
                  </pic:spPr>
                </pic:pic>
              </a:graphicData>
            </a:graphic>
          </wp:inline>
        </w:drawing>
      </w:r>
    </w:p>
    <w:p w:rsidR="004F082C" w:rsidRPr="004361C7" w:rsidRDefault="004F082C" w:rsidP="004F082C">
      <w:pPr>
        <w:rPr>
          <w:rFonts w:ascii="Times New Roman" w:hAnsi="Times New Roman"/>
          <w:b/>
          <w:bCs/>
          <w:sz w:val="24"/>
        </w:rPr>
      </w:pPr>
    </w:p>
    <w:p w:rsidR="004F082C" w:rsidRPr="004361C7" w:rsidRDefault="004F082C" w:rsidP="004F082C">
      <w:pPr>
        <w:rPr>
          <w:rFonts w:ascii="Times New Roman" w:hAnsi="Times New Roman"/>
          <w:b/>
          <w:sz w:val="24"/>
        </w:rPr>
      </w:pPr>
    </w:p>
    <w:p w:rsidR="004F082C" w:rsidRPr="004361C7" w:rsidRDefault="004F082C" w:rsidP="004F082C">
      <w:pPr>
        <w:rPr>
          <w:rFonts w:ascii="Times New Roman" w:hAnsi="Times New Roman"/>
          <w:b/>
          <w:sz w:val="24"/>
        </w:rPr>
        <w:sectPr w:rsidR="004F082C" w:rsidRPr="004361C7" w:rsidSect="004F082C">
          <w:headerReference w:type="default" r:id="rId9"/>
          <w:footerReference w:type="default" r:id="rId10"/>
          <w:pgSz w:w="12240" w:h="15840"/>
          <w:pgMar w:top="1440" w:right="1008" w:bottom="720" w:left="1008" w:header="720" w:footer="720" w:gutter="0"/>
          <w:cols w:space="720"/>
        </w:sectPr>
      </w:pPr>
    </w:p>
    <w:p w:rsidR="006F5B81" w:rsidRDefault="006F5B81">
      <w:pPr>
        <w:rPr>
          <w:rFonts w:ascii="Times New Roman" w:hAnsi="Times New Roman"/>
          <w:sz w:val="24"/>
        </w:rPr>
      </w:pPr>
      <w:r>
        <w:rPr>
          <w:rFonts w:ascii="Times New Roman" w:hAnsi="Times New Roman"/>
          <w:b/>
          <w:sz w:val="24"/>
        </w:rPr>
        <w:lastRenderedPageBreak/>
        <w:t>Purpose:</w:t>
      </w:r>
      <w:r w:rsidR="008B50E3">
        <w:rPr>
          <w:rFonts w:ascii="Times New Roman" w:hAnsi="Times New Roman"/>
          <w:sz w:val="24"/>
        </w:rPr>
        <w:t xml:space="preserve"> </w:t>
      </w:r>
    </w:p>
    <w:p w:rsidR="006F5B81" w:rsidRDefault="006F5B81">
      <w:pPr>
        <w:tabs>
          <w:tab w:val="left" w:pos="450"/>
        </w:tabs>
        <w:rPr>
          <w:rFonts w:ascii="Times New Roman" w:hAnsi="Times New Roman"/>
          <w:sz w:val="24"/>
        </w:rPr>
      </w:pPr>
    </w:p>
    <w:p w:rsidR="006F5B81" w:rsidRDefault="006F5B81">
      <w:pPr>
        <w:tabs>
          <w:tab w:val="left" w:pos="450"/>
        </w:tabs>
        <w:rPr>
          <w:rFonts w:ascii="Times New Roman" w:hAnsi="Times New Roman"/>
          <w:sz w:val="24"/>
        </w:rPr>
      </w:pPr>
      <w:r>
        <w:rPr>
          <w:rFonts w:ascii="Times New Roman" w:hAnsi="Times New Roman"/>
          <w:sz w:val="24"/>
        </w:rPr>
        <w:t>The purpose of this experiment is to obtain the infrared spectra of several pure liquids, to demonstrate the procedure used, and to identify an unknown.</w:t>
      </w:r>
    </w:p>
    <w:p w:rsidR="006F5B81" w:rsidRDefault="006F5B81">
      <w:pPr>
        <w:rPr>
          <w:rFonts w:ascii="Times New Roman" w:hAnsi="Times New Roman"/>
          <w:sz w:val="24"/>
        </w:rPr>
      </w:pPr>
    </w:p>
    <w:p w:rsidR="006F5B81" w:rsidRDefault="006F5B81">
      <w:pPr>
        <w:rPr>
          <w:rFonts w:ascii="Times New Roman" w:hAnsi="Times New Roman"/>
          <w:sz w:val="24"/>
        </w:rPr>
      </w:pPr>
      <w:r>
        <w:rPr>
          <w:rFonts w:ascii="Times New Roman" w:hAnsi="Times New Roman"/>
          <w:b/>
          <w:sz w:val="24"/>
        </w:rPr>
        <w:t>Equipment / Materials:</w:t>
      </w:r>
      <w:r>
        <w:rPr>
          <w:rFonts w:ascii="Times New Roman" w:hAnsi="Times New Roman"/>
          <w:sz w:val="24"/>
        </w:rPr>
        <w:t xml:space="preserve">  </w:t>
      </w:r>
    </w:p>
    <w:p w:rsidR="006F5B81" w:rsidRDefault="006F5B81">
      <w:pPr>
        <w:rPr>
          <w:rFonts w:ascii="Times New Roman" w:hAnsi="Times New Roman"/>
          <w:sz w:val="24"/>
        </w:rPr>
        <w:sectPr w:rsidR="006F5B81">
          <w:headerReference w:type="default" r:id="rId11"/>
          <w:footerReference w:type="default" r:id="rId12"/>
          <w:pgSz w:w="12240" w:h="15840"/>
          <w:pgMar w:top="1440" w:right="1800" w:bottom="720" w:left="1800" w:header="720" w:footer="720" w:gutter="0"/>
          <w:cols w:space="720"/>
        </w:sectPr>
      </w:pPr>
    </w:p>
    <w:p w:rsidR="006F5B81" w:rsidRDefault="006F5B81">
      <w:pPr>
        <w:rPr>
          <w:rFonts w:ascii="Times New Roman" w:hAnsi="Times New Roman"/>
          <w:sz w:val="24"/>
        </w:rPr>
      </w:pPr>
      <w:r>
        <w:rPr>
          <w:rFonts w:ascii="Times New Roman" w:hAnsi="Times New Roman"/>
          <w:sz w:val="24"/>
        </w:rPr>
        <w:lastRenderedPageBreak/>
        <w:t>Transfer pipettes</w:t>
      </w:r>
    </w:p>
    <w:p w:rsidR="006F5B81" w:rsidRDefault="006F5B81">
      <w:pPr>
        <w:rPr>
          <w:rFonts w:ascii="Times New Roman" w:hAnsi="Times New Roman"/>
          <w:sz w:val="24"/>
        </w:rPr>
      </w:pPr>
      <w:r>
        <w:rPr>
          <w:rFonts w:ascii="Times New Roman" w:hAnsi="Times New Roman"/>
          <w:sz w:val="24"/>
        </w:rPr>
        <w:t>organic liquids</w:t>
      </w:r>
    </w:p>
    <w:p w:rsidR="006F5B81" w:rsidRDefault="006F5B81">
      <w:pPr>
        <w:rPr>
          <w:rFonts w:ascii="Times New Roman" w:hAnsi="Times New Roman"/>
          <w:sz w:val="24"/>
        </w:rPr>
      </w:pPr>
    </w:p>
    <w:p w:rsidR="006F5B81" w:rsidRDefault="006F5B81">
      <w:pPr>
        <w:rPr>
          <w:rFonts w:ascii="Times New Roman" w:hAnsi="Times New Roman"/>
          <w:sz w:val="24"/>
        </w:rPr>
      </w:pPr>
    </w:p>
    <w:p w:rsidR="006F5B81" w:rsidRDefault="006F5B81">
      <w:pPr>
        <w:rPr>
          <w:rFonts w:ascii="Times New Roman" w:hAnsi="Times New Roman"/>
          <w:sz w:val="24"/>
        </w:rPr>
      </w:pPr>
      <w:r>
        <w:rPr>
          <w:rFonts w:ascii="Times New Roman" w:hAnsi="Times New Roman"/>
          <w:sz w:val="24"/>
        </w:rPr>
        <w:lastRenderedPageBreak/>
        <w:t>acetone</w:t>
      </w:r>
    </w:p>
    <w:p w:rsidR="006F5B81" w:rsidRDefault="006F5B81">
      <w:pPr>
        <w:rPr>
          <w:rFonts w:ascii="Times New Roman" w:hAnsi="Times New Roman"/>
          <w:sz w:val="24"/>
        </w:rPr>
      </w:pPr>
      <w:r>
        <w:rPr>
          <w:rFonts w:ascii="Times New Roman" w:hAnsi="Times New Roman"/>
          <w:sz w:val="24"/>
        </w:rPr>
        <w:t>rubber gloves</w:t>
      </w:r>
    </w:p>
    <w:p w:rsidR="006F5B81" w:rsidRDefault="006F5B81">
      <w:pPr>
        <w:rPr>
          <w:rFonts w:ascii="Times New Roman" w:hAnsi="Times New Roman"/>
          <w:sz w:val="24"/>
        </w:rPr>
      </w:pPr>
      <w:proofErr w:type="spellStart"/>
      <w:r>
        <w:rPr>
          <w:rFonts w:ascii="Times New Roman" w:hAnsi="Times New Roman"/>
          <w:sz w:val="24"/>
        </w:rPr>
        <w:t>Kimwipes</w:t>
      </w:r>
      <w:proofErr w:type="spellEnd"/>
    </w:p>
    <w:p w:rsidR="006F5B81" w:rsidRDefault="006F5B81">
      <w:pPr>
        <w:ind w:left="720" w:hanging="720"/>
        <w:rPr>
          <w:rFonts w:ascii="Times New Roman" w:hAnsi="Times New Roman"/>
          <w:b/>
          <w:sz w:val="24"/>
        </w:rPr>
        <w:sectPr w:rsidR="006F5B81">
          <w:type w:val="continuous"/>
          <w:pgSz w:w="12240" w:h="15840"/>
          <w:pgMar w:top="1440" w:right="1800" w:bottom="720" w:left="1800" w:header="720" w:footer="720" w:gutter="0"/>
          <w:cols w:num="2" w:space="720"/>
        </w:sectPr>
      </w:pPr>
    </w:p>
    <w:p w:rsidR="006F5B81" w:rsidRDefault="006F5B81">
      <w:pPr>
        <w:ind w:left="720" w:hanging="720"/>
        <w:rPr>
          <w:rFonts w:ascii="Times New Roman" w:hAnsi="Times New Roman"/>
          <w:b/>
          <w:sz w:val="24"/>
        </w:rPr>
      </w:pPr>
    </w:p>
    <w:p w:rsidR="006F5B81" w:rsidRDefault="006F5B81">
      <w:pPr>
        <w:ind w:left="720" w:hanging="720"/>
        <w:rPr>
          <w:rFonts w:ascii="Times New Roman" w:hAnsi="Times New Roman"/>
          <w:b/>
          <w:sz w:val="24"/>
        </w:rPr>
      </w:pPr>
      <w:r>
        <w:rPr>
          <w:rFonts w:ascii="Times New Roman" w:hAnsi="Times New Roman"/>
          <w:b/>
          <w:sz w:val="24"/>
        </w:rPr>
        <w:t>Safety:</w:t>
      </w:r>
    </w:p>
    <w:p w:rsidR="006F5B81" w:rsidRDefault="006F5B81">
      <w:pPr>
        <w:ind w:left="450" w:hanging="450"/>
        <w:rPr>
          <w:rFonts w:ascii="Times New Roman" w:hAnsi="Times New Roman"/>
          <w:sz w:val="24"/>
        </w:rPr>
      </w:pPr>
    </w:p>
    <w:p w:rsidR="006F5B81" w:rsidRDefault="006F5B81">
      <w:pPr>
        <w:ind w:left="450" w:hanging="450"/>
        <w:rPr>
          <w:rFonts w:ascii="Times New Roman" w:hAnsi="Times New Roman"/>
          <w:sz w:val="24"/>
        </w:rPr>
      </w:pPr>
      <w:r>
        <w:rPr>
          <w:rFonts w:ascii="Times New Roman" w:hAnsi="Times New Roman"/>
          <w:sz w:val="24"/>
        </w:rPr>
        <w:fldChar w:fldCharType="begin"/>
      </w:r>
      <w:r>
        <w:rPr>
          <w:rFonts w:ascii="Times New Roman" w:hAnsi="Times New Roman"/>
          <w:sz w:val="24"/>
        </w:rPr>
        <w:instrText>SYMBOL 159 \f "Wingdings" \s 12 \h</w:instrText>
      </w:r>
      <w:r>
        <w:rPr>
          <w:rFonts w:ascii="Times New Roman" w:hAnsi="Times New Roman"/>
          <w:sz w:val="24"/>
        </w:rPr>
        <w:fldChar w:fldCharType="end"/>
      </w:r>
      <w:r>
        <w:rPr>
          <w:rFonts w:ascii="Times New Roman" w:hAnsi="Times New Roman"/>
          <w:sz w:val="24"/>
        </w:rPr>
        <w:tab/>
        <w:t>Always wear safety glasses and an apron in the lab.</w:t>
      </w:r>
    </w:p>
    <w:p w:rsidR="006F5B81" w:rsidRDefault="006F5B81">
      <w:pPr>
        <w:ind w:left="450" w:hanging="450"/>
        <w:rPr>
          <w:rFonts w:ascii="Times New Roman" w:hAnsi="Times New Roman"/>
          <w:sz w:val="24"/>
        </w:rPr>
      </w:pPr>
      <w:r>
        <w:rPr>
          <w:rFonts w:ascii="Times New Roman" w:hAnsi="Times New Roman"/>
          <w:sz w:val="24"/>
        </w:rPr>
        <w:fldChar w:fldCharType="begin"/>
      </w:r>
      <w:r>
        <w:rPr>
          <w:rFonts w:ascii="Times New Roman" w:hAnsi="Times New Roman"/>
          <w:sz w:val="24"/>
        </w:rPr>
        <w:instrText>SYMBOL 159 \f "Wingdings" \s 12 \h</w:instrText>
      </w:r>
      <w:r>
        <w:rPr>
          <w:rFonts w:ascii="Times New Roman" w:hAnsi="Times New Roman"/>
          <w:sz w:val="24"/>
        </w:rPr>
        <w:fldChar w:fldCharType="end"/>
      </w:r>
      <w:r>
        <w:rPr>
          <w:rFonts w:ascii="Times New Roman" w:hAnsi="Times New Roman"/>
          <w:sz w:val="24"/>
        </w:rPr>
        <w:tab/>
        <w:t>Always wear gloves when handling the samples.</w:t>
      </w:r>
    </w:p>
    <w:p w:rsidR="006F5B81" w:rsidRDefault="006F5B81">
      <w:pPr>
        <w:ind w:left="450" w:hanging="450"/>
        <w:rPr>
          <w:rFonts w:ascii="Times New Roman" w:hAnsi="Times New Roman"/>
          <w:b/>
          <w:sz w:val="24"/>
          <w:u w:val="single"/>
        </w:rPr>
      </w:pPr>
    </w:p>
    <w:p w:rsidR="006F5B81" w:rsidRDefault="006F5B81">
      <w:pPr>
        <w:ind w:left="720" w:hanging="720"/>
        <w:rPr>
          <w:rFonts w:ascii="Times New Roman" w:hAnsi="Times New Roman"/>
          <w:b/>
          <w:sz w:val="24"/>
        </w:rPr>
      </w:pPr>
      <w:r>
        <w:rPr>
          <w:rFonts w:ascii="Times New Roman" w:hAnsi="Times New Roman"/>
          <w:b/>
          <w:sz w:val="24"/>
        </w:rPr>
        <w:t>Procedure:</w:t>
      </w:r>
    </w:p>
    <w:p w:rsidR="006F5B81" w:rsidRDefault="006F5B81">
      <w:pPr>
        <w:ind w:left="720" w:hanging="720"/>
        <w:rPr>
          <w:rFonts w:ascii="Times New Roman" w:hAnsi="Times New Roman"/>
          <w:b/>
          <w:sz w:val="24"/>
        </w:rPr>
      </w:pPr>
    </w:p>
    <w:p w:rsidR="006F5B81" w:rsidRDefault="006F5B81">
      <w:pPr>
        <w:pStyle w:val="Heading2"/>
        <w:ind w:left="360"/>
        <w:rPr>
          <w:b/>
          <w:bCs/>
          <w:i/>
          <w:iCs/>
        </w:rPr>
      </w:pPr>
      <w:r>
        <w:rPr>
          <w:b/>
          <w:bCs/>
          <w:i/>
          <w:iCs/>
        </w:rPr>
        <w:t>Collect a background spectrum</w:t>
      </w:r>
    </w:p>
    <w:p w:rsidR="006F5B81" w:rsidRDefault="006F5B81">
      <w:pPr>
        <w:numPr>
          <w:ilvl w:val="0"/>
          <w:numId w:val="5"/>
        </w:numPr>
        <w:rPr>
          <w:sz w:val="24"/>
        </w:rPr>
      </w:pPr>
      <w:r>
        <w:rPr>
          <w:sz w:val="24"/>
        </w:rPr>
        <w:t>Remove any sample from the sample compartment or accessory.</w:t>
      </w:r>
    </w:p>
    <w:p w:rsidR="006F5B81" w:rsidRDefault="006F5B81">
      <w:pPr>
        <w:numPr>
          <w:ilvl w:val="0"/>
          <w:numId w:val="5"/>
        </w:numPr>
        <w:rPr>
          <w:sz w:val="24"/>
        </w:rPr>
      </w:pPr>
      <w:r>
        <w:rPr>
          <w:sz w:val="24"/>
        </w:rPr>
        <w:t xml:space="preserve">Using the mouse, click on </w:t>
      </w:r>
      <w:r>
        <w:rPr>
          <w:b/>
          <w:bCs/>
          <w:sz w:val="24"/>
        </w:rPr>
        <w:t>Collect, Background</w:t>
      </w:r>
      <w:r>
        <w:rPr>
          <w:sz w:val="24"/>
        </w:rPr>
        <w:t>.</w:t>
      </w:r>
    </w:p>
    <w:p w:rsidR="006F5B81" w:rsidRDefault="006F5B81">
      <w:pPr>
        <w:numPr>
          <w:ilvl w:val="0"/>
          <w:numId w:val="5"/>
        </w:numPr>
        <w:rPr>
          <w:sz w:val="24"/>
        </w:rPr>
      </w:pPr>
      <w:r>
        <w:rPr>
          <w:sz w:val="24"/>
        </w:rPr>
        <w:t xml:space="preserve">Enter a spectrum title.  Suggested title:  initials </w:t>
      </w:r>
      <w:proofErr w:type="spellStart"/>
      <w:r>
        <w:rPr>
          <w:sz w:val="24"/>
        </w:rPr>
        <w:t>bg</w:t>
      </w:r>
      <w:proofErr w:type="spellEnd"/>
      <w:r>
        <w:rPr>
          <w:sz w:val="24"/>
        </w:rPr>
        <w:t xml:space="preserve"> date</w:t>
      </w:r>
    </w:p>
    <w:p w:rsidR="006F5B81" w:rsidRDefault="006F5B81">
      <w:pPr>
        <w:numPr>
          <w:ilvl w:val="0"/>
          <w:numId w:val="5"/>
        </w:numPr>
        <w:rPr>
          <w:sz w:val="24"/>
        </w:rPr>
      </w:pPr>
      <w:r>
        <w:rPr>
          <w:sz w:val="24"/>
        </w:rPr>
        <w:t xml:space="preserve">Choose </w:t>
      </w:r>
      <w:r>
        <w:rPr>
          <w:b/>
          <w:bCs/>
          <w:sz w:val="24"/>
        </w:rPr>
        <w:t>OK</w:t>
      </w:r>
      <w:r>
        <w:rPr>
          <w:sz w:val="24"/>
        </w:rPr>
        <w:t>.  A gauge shows the progress of collection.</w:t>
      </w:r>
    </w:p>
    <w:p w:rsidR="006F5B81" w:rsidRDefault="006F5B81">
      <w:pPr>
        <w:rPr>
          <w:sz w:val="24"/>
        </w:rPr>
      </w:pPr>
    </w:p>
    <w:p w:rsidR="006F5B81" w:rsidRDefault="006F5B81">
      <w:pPr>
        <w:ind w:left="360"/>
        <w:rPr>
          <w:b/>
          <w:bCs/>
          <w:i/>
          <w:iCs/>
          <w:sz w:val="24"/>
        </w:rPr>
      </w:pPr>
      <w:r>
        <w:rPr>
          <w:b/>
          <w:bCs/>
          <w:i/>
          <w:iCs/>
          <w:sz w:val="24"/>
        </w:rPr>
        <w:t>Collect a sample spectrum</w:t>
      </w:r>
    </w:p>
    <w:p w:rsidR="006F5B81" w:rsidRDefault="006F5B81">
      <w:pPr>
        <w:numPr>
          <w:ilvl w:val="0"/>
          <w:numId w:val="5"/>
        </w:numPr>
        <w:rPr>
          <w:sz w:val="24"/>
        </w:rPr>
      </w:pPr>
      <w:r>
        <w:rPr>
          <w:sz w:val="24"/>
        </w:rPr>
        <w:t>Place sample on sample compartment or accessory.</w:t>
      </w:r>
    </w:p>
    <w:p w:rsidR="006F5B81" w:rsidRDefault="006F5B81">
      <w:pPr>
        <w:numPr>
          <w:ilvl w:val="1"/>
          <w:numId w:val="5"/>
        </w:numPr>
        <w:rPr>
          <w:sz w:val="24"/>
        </w:rPr>
      </w:pPr>
      <w:r>
        <w:rPr>
          <w:sz w:val="24"/>
        </w:rPr>
        <w:t>If using a swap-top accessory, turn and pull the silver release knob at the back of the swap-top.</w:t>
      </w:r>
    </w:p>
    <w:p w:rsidR="006F5B81" w:rsidRDefault="006F5B81">
      <w:pPr>
        <w:numPr>
          <w:ilvl w:val="1"/>
          <w:numId w:val="5"/>
        </w:numPr>
        <w:rPr>
          <w:sz w:val="24"/>
        </w:rPr>
      </w:pPr>
      <w:r>
        <w:rPr>
          <w:sz w:val="24"/>
        </w:rPr>
        <w:t>Once the release mechanism is disengaged, tilt the pressure device out of the way.  Tilt it back until the silver release knob clicks into the back position</w:t>
      </w:r>
    </w:p>
    <w:p w:rsidR="006F5B81" w:rsidRDefault="006F5B81">
      <w:pPr>
        <w:numPr>
          <w:ilvl w:val="1"/>
          <w:numId w:val="5"/>
        </w:numPr>
        <w:rPr>
          <w:sz w:val="24"/>
        </w:rPr>
      </w:pPr>
      <w:r>
        <w:rPr>
          <w:sz w:val="24"/>
        </w:rPr>
        <w:t>Place sample on base of accessory, so that it lies on the small hole in the base.</w:t>
      </w:r>
    </w:p>
    <w:p w:rsidR="006F5B81" w:rsidRDefault="006F5B81">
      <w:pPr>
        <w:numPr>
          <w:ilvl w:val="1"/>
          <w:numId w:val="5"/>
        </w:numPr>
        <w:rPr>
          <w:sz w:val="24"/>
        </w:rPr>
      </w:pPr>
      <w:r>
        <w:rPr>
          <w:sz w:val="24"/>
        </w:rPr>
        <w:t>While holding the pressure device, pull the silver knob out and move it to the upright position so the tip is now over the sample.</w:t>
      </w:r>
    </w:p>
    <w:p w:rsidR="006F5B81" w:rsidRDefault="006F5B81">
      <w:pPr>
        <w:numPr>
          <w:ilvl w:val="1"/>
          <w:numId w:val="5"/>
        </w:numPr>
        <w:rPr>
          <w:sz w:val="24"/>
        </w:rPr>
      </w:pPr>
      <w:r>
        <w:rPr>
          <w:sz w:val="24"/>
        </w:rPr>
        <w:t>Turn the top knob clockwise until it clicks.  The instrument automatically determines the appropriate pressure necessary to run the sample.</w:t>
      </w:r>
    </w:p>
    <w:p w:rsidR="006F5B81" w:rsidRDefault="006F5B81">
      <w:pPr>
        <w:numPr>
          <w:ilvl w:val="0"/>
          <w:numId w:val="5"/>
        </w:numPr>
        <w:rPr>
          <w:b/>
          <w:bCs/>
          <w:sz w:val="24"/>
        </w:rPr>
      </w:pPr>
      <w:r>
        <w:rPr>
          <w:sz w:val="24"/>
        </w:rPr>
        <w:t>Press</w:t>
      </w:r>
      <w:r>
        <w:rPr>
          <w:b/>
          <w:bCs/>
          <w:sz w:val="24"/>
        </w:rPr>
        <w:t xml:space="preserve"> Collect, Sample</w:t>
      </w:r>
    </w:p>
    <w:p w:rsidR="008B50E3" w:rsidRPr="008B50E3" w:rsidRDefault="006F5B81" w:rsidP="008B50E3">
      <w:pPr>
        <w:numPr>
          <w:ilvl w:val="0"/>
          <w:numId w:val="5"/>
        </w:numPr>
        <w:rPr>
          <w:b/>
          <w:bCs/>
          <w:i/>
          <w:iCs/>
          <w:sz w:val="24"/>
          <w:u w:val="single"/>
        </w:rPr>
      </w:pPr>
      <w:r>
        <w:rPr>
          <w:sz w:val="24"/>
        </w:rPr>
        <w:t xml:space="preserve">Before it is displayed, the sample spectrum is automatically </w:t>
      </w:r>
      <w:proofErr w:type="spellStart"/>
      <w:r>
        <w:rPr>
          <w:sz w:val="24"/>
        </w:rPr>
        <w:t>ratioed</w:t>
      </w:r>
      <w:proofErr w:type="spellEnd"/>
      <w:r>
        <w:rPr>
          <w:sz w:val="24"/>
        </w:rPr>
        <w:t xml:space="preserve"> against the current background.</w:t>
      </w:r>
    </w:p>
    <w:p w:rsidR="008B50E3" w:rsidRDefault="008B50E3">
      <w:pPr>
        <w:rPr>
          <w:sz w:val="24"/>
        </w:rPr>
      </w:pPr>
      <w:r>
        <w:rPr>
          <w:sz w:val="24"/>
        </w:rPr>
        <w:br w:type="page"/>
      </w:r>
    </w:p>
    <w:p w:rsidR="006F5B81" w:rsidRDefault="008B50E3" w:rsidP="008B50E3">
      <w:pPr>
        <w:rPr>
          <w:b/>
          <w:bCs/>
          <w:i/>
          <w:iCs/>
          <w:sz w:val="24"/>
          <w:u w:val="single"/>
        </w:rPr>
      </w:pPr>
      <w:r>
        <w:rPr>
          <w:b/>
          <w:bCs/>
          <w:i/>
          <w:iCs/>
          <w:sz w:val="24"/>
          <w:u w:val="single"/>
        </w:rPr>
        <w:lastRenderedPageBreak/>
        <w:t xml:space="preserve"> </w:t>
      </w:r>
      <w:r w:rsidR="006F5B81">
        <w:rPr>
          <w:b/>
          <w:bCs/>
          <w:i/>
          <w:iCs/>
          <w:sz w:val="24"/>
          <w:u w:val="single"/>
        </w:rPr>
        <w:t>Display options:</w:t>
      </w:r>
    </w:p>
    <w:p w:rsidR="006F5B81" w:rsidRDefault="006F5B81">
      <w:pPr>
        <w:numPr>
          <w:ilvl w:val="0"/>
          <w:numId w:val="5"/>
        </w:numPr>
        <w:rPr>
          <w:b/>
          <w:bCs/>
          <w:sz w:val="24"/>
        </w:rPr>
      </w:pPr>
      <w:r>
        <w:rPr>
          <w:b/>
          <w:bCs/>
          <w:sz w:val="24"/>
        </w:rPr>
        <w:t>Setup</w:t>
      </w:r>
    </w:p>
    <w:p w:rsidR="006F5B81" w:rsidRDefault="006F5B81">
      <w:pPr>
        <w:numPr>
          <w:ilvl w:val="0"/>
          <w:numId w:val="5"/>
        </w:numPr>
        <w:rPr>
          <w:b/>
          <w:bCs/>
          <w:sz w:val="24"/>
        </w:rPr>
      </w:pPr>
      <w:r>
        <w:rPr>
          <w:b/>
          <w:bCs/>
          <w:sz w:val="24"/>
        </w:rPr>
        <w:t>Display options</w:t>
      </w:r>
    </w:p>
    <w:p w:rsidR="006F5B81" w:rsidRDefault="006F5B81">
      <w:pPr>
        <w:rPr>
          <w:sz w:val="24"/>
        </w:rPr>
      </w:pPr>
    </w:p>
    <w:p w:rsidR="006F5B81" w:rsidRDefault="006F5B81">
      <w:pPr>
        <w:numPr>
          <w:ilvl w:val="2"/>
          <w:numId w:val="5"/>
        </w:numPr>
        <w:rPr>
          <w:i/>
          <w:iCs/>
          <w:sz w:val="24"/>
          <w:u w:val="single"/>
        </w:rPr>
      </w:pPr>
      <w:r>
        <w:rPr>
          <w:i/>
          <w:iCs/>
          <w:sz w:val="24"/>
          <w:u w:val="single"/>
        </w:rPr>
        <w:t>Overlaying or stacking spectra</w:t>
      </w:r>
    </w:p>
    <w:p w:rsidR="006F5B81" w:rsidRDefault="006F5B81">
      <w:pPr>
        <w:numPr>
          <w:ilvl w:val="3"/>
          <w:numId w:val="5"/>
        </w:numPr>
        <w:rPr>
          <w:sz w:val="24"/>
        </w:rPr>
      </w:pPr>
      <w:r>
        <w:rPr>
          <w:sz w:val="24"/>
        </w:rPr>
        <w:t>You can overlay spectra on the screen or ‘stack’ them so they appear above one another.  Overlaying makes it easy to see the differences in their spectral features.</w:t>
      </w:r>
    </w:p>
    <w:p w:rsidR="006F5B81" w:rsidRDefault="006F5B81">
      <w:pPr>
        <w:numPr>
          <w:ilvl w:val="3"/>
          <w:numId w:val="5"/>
        </w:numPr>
        <w:rPr>
          <w:sz w:val="24"/>
        </w:rPr>
      </w:pPr>
      <w:r>
        <w:rPr>
          <w:sz w:val="24"/>
        </w:rPr>
        <w:t xml:space="preserve">If you want a single scan </w:t>
      </w:r>
      <w:proofErr w:type="gramStart"/>
      <w:r>
        <w:rPr>
          <w:sz w:val="24"/>
        </w:rPr>
        <w:t>on  the</w:t>
      </w:r>
      <w:proofErr w:type="gramEnd"/>
      <w:r>
        <w:rPr>
          <w:sz w:val="24"/>
        </w:rPr>
        <w:t xml:space="preserve"> screen, choose ‘stack spectra’ and fill in ‘1’ for ‘number of stacked spectra.</w:t>
      </w:r>
    </w:p>
    <w:p w:rsidR="006F5B81" w:rsidRDefault="006F5B81">
      <w:pPr>
        <w:rPr>
          <w:sz w:val="24"/>
        </w:rPr>
      </w:pPr>
    </w:p>
    <w:p w:rsidR="006F5B81" w:rsidRDefault="006F5B81">
      <w:pPr>
        <w:numPr>
          <w:ilvl w:val="2"/>
          <w:numId w:val="5"/>
        </w:numPr>
        <w:rPr>
          <w:i/>
          <w:iCs/>
          <w:sz w:val="24"/>
          <w:u w:val="single"/>
        </w:rPr>
      </w:pPr>
      <w:r>
        <w:rPr>
          <w:i/>
          <w:iCs/>
          <w:sz w:val="24"/>
          <w:u w:val="single"/>
        </w:rPr>
        <w:t>Viewing a portion of the spectrum</w:t>
      </w:r>
    </w:p>
    <w:p w:rsidR="006F5B81" w:rsidRDefault="006F5B81">
      <w:pPr>
        <w:numPr>
          <w:ilvl w:val="3"/>
          <w:numId w:val="5"/>
        </w:numPr>
        <w:rPr>
          <w:sz w:val="24"/>
        </w:rPr>
      </w:pPr>
      <w:r>
        <w:rPr>
          <w:sz w:val="24"/>
        </w:rPr>
        <w:t xml:space="preserve">Type the starting and ending frequencies in the ‘Start Frequency’ and ‘End Frequency’ text boxes.  </w:t>
      </w:r>
    </w:p>
    <w:p w:rsidR="006F5B81" w:rsidRDefault="006F5B81">
      <w:pPr>
        <w:numPr>
          <w:ilvl w:val="3"/>
          <w:numId w:val="5"/>
        </w:numPr>
        <w:rPr>
          <w:sz w:val="24"/>
        </w:rPr>
      </w:pPr>
      <w:r>
        <w:rPr>
          <w:sz w:val="24"/>
        </w:rPr>
        <w:t>You can also zoom in on an area through the ‘View’ button.</w:t>
      </w:r>
    </w:p>
    <w:p w:rsidR="006F5B81" w:rsidRDefault="006F5B81">
      <w:pPr>
        <w:rPr>
          <w:sz w:val="24"/>
        </w:rPr>
      </w:pPr>
    </w:p>
    <w:p w:rsidR="006F5B81" w:rsidRDefault="006F5B81">
      <w:pPr>
        <w:rPr>
          <w:sz w:val="24"/>
        </w:rPr>
      </w:pPr>
    </w:p>
    <w:p w:rsidR="004F082C" w:rsidRDefault="006F5B81" w:rsidP="008B50E3">
      <w:pPr>
        <w:rPr>
          <w:rFonts w:ascii="Times New Roman" w:hAnsi="Times New Roman"/>
          <w:b/>
          <w:sz w:val="24"/>
        </w:rPr>
      </w:pPr>
      <w:r>
        <w:rPr>
          <w:sz w:val="24"/>
        </w:rPr>
        <w:t>Note:  Subtraction is only used to subtract one sample from another.  Unlike other infrared specs, the background scan is automatically ‘</w:t>
      </w:r>
      <w:proofErr w:type="spellStart"/>
      <w:r>
        <w:rPr>
          <w:sz w:val="24"/>
        </w:rPr>
        <w:t>ratioed</w:t>
      </w:r>
      <w:proofErr w:type="spellEnd"/>
      <w:r>
        <w:rPr>
          <w:sz w:val="24"/>
        </w:rPr>
        <w:t xml:space="preserve">’ or </w:t>
      </w:r>
      <w:proofErr w:type="gramStart"/>
      <w:r>
        <w:rPr>
          <w:sz w:val="24"/>
        </w:rPr>
        <w:t>‘ or</w:t>
      </w:r>
      <w:proofErr w:type="gramEnd"/>
      <w:r>
        <w:rPr>
          <w:sz w:val="24"/>
        </w:rPr>
        <w:t xml:space="preserve"> ‘</w:t>
      </w:r>
      <w:proofErr w:type="spellStart"/>
      <w:r>
        <w:rPr>
          <w:sz w:val="24"/>
        </w:rPr>
        <w:t>subracted</w:t>
      </w:r>
      <w:proofErr w:type="spellEnd"/>
      <w:r>
        <w:rPr>
          <w:sz w:val="24"/>
        </w:rPr>
        <w:t>’ from the sample scan.</w:t>
      </w:r>
      <w:r w:rsidR="008B50E3">
        <w:rPr>
          <w:rFonts w:ascii="Times New Roman" w:hAnsi="Times New Roman"/>
          <w:b/>
          <w:sz w:val="24"/>
        </w:rPr>
        <w:t xml:space="preserve"> </w:t>
      </w:r>
    </w:p>
    <w:p w:rsidR="008B50E3" w:rsidRDefault="008B50E3">
      <w:pPr>
        <w:rPr>
          <w:rFonts w:ascii="Times New Roman" w:hAnsi="Times New Roman"/>
          <w:b/>
          <w:sz w:val="24"/>
        </w:rPr>
      </w:pPr>
      <w:r>
        <w:rPr>
          <w:rFonts w:ascii="Times New Roman" w:hAnsi="Times New Roman"/>
          <w:b/>
          <w:sz w:val="24"/>
        </w:rPr>
        <w:br w:type="page"/>
      </w:r>
    </w:p>
    <w:p w:rsidR="006F5B81" w:rsidRDefault="006F5B81">
      <w:pPr>
        <w:ind w:left="1170" w:hanging="1170"/>
        <w:rPr>
          <w:rFonts w:ascii="Times New Roman" w:hAnsi="Times New Roman"/>
          <w:sz w:val="24"/>
        </w:rPr>
      </w:pPr>
      <w:r>
        <w:rPr>
          <w:rFonts w:ascii="Times New Roman" w:hAnsi="Times New Roman"/>
          <w:b/>
          <w:sz w:val="24"/>
        </w:rPr>
        <w:lastRenderedPageBreak/>
        <w:t>Data Table</w:t>
      </w:r>
      <w:r>
        <w:rPr>
          <w:rFonts w:ascii="Times New Roman" w:hAnsi="Times New Roman"/>
          <w:sz w:val="24"/>
        </w:rPr>
        <w:t>:</w:t>
      </w:r>
    </w:p>
    <w:p w:rsidR="006F5B81" w:rsidRDefault="006F5B81">
      <w:pPr>
        <w:ind w:left="1170" w:hanging="1170"/>
        <w:rPr>
          <w:rFonts w:ascii="Times New Roman" w:hAnsi="Times New Roman"/>
          <w:sz w:val="24"/>
        </w:rPr>
      </w:pPr>
    </w:p>
    <w:p w:rsidR="004F082C" w:rsidRDefault="004F082C" w:rsidP="004F082C">
      <w:pPr>
        <w:rPr>
          <w:rFonts w:ascii="Times New Roman" w:hAnsi="Times New Roman"/>
          <w:b/>
          <w:sz w:val="28"/>
        </w:rPr>
      </w:pPr>
      <w:r>
        <w:rPr>
          <w:rFonts w:ascii="Times New Roman" w:hAnsi="Times New Roman"/>
          <w:sz w:val="24"/>
        </w:rPr>
        <w:t>Using the IR Peak Location Index below, l</w:t>
      </w:r>
      <w:r w:rsidR="006F5B81">
        <w:rPr>
          <w:rFonts w:ascii="Times New Roman" w:hAnsi="Times New Roman"/>
          <w:sz w:val="24"/>
        </w:rPr>
        <w:t>ist and identify the major peaks.</w:t>
      </w:r>
      <w:r w:rsidRPr="004F082C">
        <w:rPr>
          <w:rFonts w:ascii="Times New Roman" w:hAnsi="Times New Roman"/>
          <w:b/>
          <w:sz w:val="28"/>
        </w:rPr>
        <w:t xml:space="preserve"> </w:t>
      </w:r>
    </w:p>
    <w:p w:rsidR="004F082C" w:rsidRDefault="004F082C" w:rsidP="004F082C">
      <w:pPr>
        <w:jc w:val="center"/>
        <w:rPr>
          <w:rFonts w:ascii="Times New Roman" w:hAnsi="Times New Roman"/>
          <w:b/>
          <w:sz w:val="28"/>
        </w:rPr>
      </w:pPr>
    </w:p>
    <w:p w:rsidR="004F082C" w:rsidRPr="004361C7" w:rsidRDefault="004F082C" w:rsidP="004F082C">
      <w:pPr>
        <w:jc w:val="center"/>
        <w:rPr>
          <w:rFonts w:ascii="Times New Roman" w:hAnsi="Times New Roman"/>
          <w:b/>
          <w:sz w:val="28"/>
        </w:rPr>
      </w:pPr>
      <w:r w:rsidRPr="004361C7">
        <w:rPr>
          <w:rFonts w:ascii="Times New Roman" w:hAnsi="Times New Roman"/>
          <w:b/>
          <w:sz w:val="28"/>
        </w:rPr>
        <w:t>IR Peak Location Index</w:t>
      </w:r>
    </w:p>
    <w:p w:rsidR="004F082C" w:rsidRPr="004361C7" w:rsidRDefault="00860FB4" w:rsidP="004F082C">
      <w:pPr>
        <w:jc w:val="center"/>
        <w:rPr>
          <w:rFonts w:ascii="Times New Roman" w:hAnsi="Times New Roman"/>
        </w:rPr>
      </w:pPr>
      <w:r w:rsidRPr="004361C7">
        <w:rPr>
          <w:rFonts w:ascii="Times New Roman" w:hAnsi="Times New Roman"/>
          <w:noProof/>
          <w:sz w:val="28"/>
        </w:rPr>
        <w:drawing>
          <wp:inline distT="0" distB="0" distL="0" distR="0">
            <wp:extent cx="2714625" cy="3267075"/>
            <wp:effectExtent l="0" t="0" r="9525" b="9525"/>
            <wp:docPr id="3" name="Picture 3" title="IR Peak Lo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14625" cy="3267075"/>
                    </a:xfrm>
                    <a:prstGeom prst="rect">
                      <a:avLst/>
                    </a:prstGeom>
                    <a:noFill/>
                    <a:ln>
                      <a:noFill/>
                    </a:ln>
                  </pic:spPr>
                </pic:pic>
              </a:graphicData>
            </a:graphic>
          </wp:inline>
        </w:drawing>
      </w:r>
    </w:p>
    <w:p w:rsidR="006F5B81" w:rsidRDefault="006F5B81">
      <w:pPr>
        <w:ind w:left="1170" w:hanging="1170"/>
        <w:rPr>
          <w:rFonts w:ascii="Times New Roman" w:hAnsi="Times New Roman"/>
          <w:sz w:val="24"/>
        </w:rPr>
      </w:pPr>
    </w:p>
    <w:p w:rsidR="006F5B81" w:rsidRDefault="006F5B81">
      <w:pPr>
        <w:ind w:left="1170" w:hanging="1170"/>
        <w:rPr>
          <w:rFonts w:ascii="Times New Roman" w:hAnsi="Times New Roman"/>
          <w:sz w:val="24"/>
        </w:rPr>
      </w:pPr>
    </w:p>
    <w:p w:rsidR="006F5B81" w:rsidRDefault="006F5B81">
      <w:pPr>
        <w:ind w:left="1170" w:hanging="1170"/>
        <w:rPr>
          <w:rFonts w:ascii="Times New Roman" w:hAnsi="Times New Roman"/>
          <w:sz w:val="24"/>
        </w:rPr>
      </w:pPr>
      <w:proofErr w:type="gramStart"/>
      <w:r>
        <w:rPr>
          <w:rFonts w:ascii="Times New Roman" w:hAnsi="Times New Roman"/>
          <w:sz w:val="24"/>
        </w:rPr>
        <w:t>Sample:_</w:t>
      </w:r>
      <w:proofErr w:type="gramEnd"/>
      <w:r>
        <w:rPr>
          <w:rFonts w:ascii="Times New Roman" w:hAnsi="Times New Roman"/>
          <w:sz w:val="24"/>
        </w:rPr>
        <w:t>____________________</w:t>
      </w:r>
    </w:p>
    <w:p w:rsidR="006F5B81" w:rsidRDefault="006F5B81">
      <w:pPr>
        <w:ind w:left="1170" w:hanging="1170"/>
        <w:rPr>
          <w:rFonts w:ascii="Times New Roman" w:hAnsi="Times New Roman"/>
          <w:sz w:val="24"/>
        </w:rPr>
      </w:pPr>
    </w:p>
    <w:tbl>
      <w:tblPr>
        <w:tblW w:w="9180" w:type="dxa"/>
        <w:tblInd w:w="468" w:type="dxa"/>
        <w:tblLayout w:type="fixed"/>
        <w:tblLook w:val="0000" w:firstRow="0" w:lastRow="0" w:firstColumn="0" w:lastColumn="0" w:noHBand="0" w:noVBand="0"/>
      </w:tblPr>
      <w:tblGrid>
        <w:gridCol w:w="3171"/>
        <w:gridCol w:w="1329"/>
        <w:gridCol w:w="2340"/>
        <w:gridCol w:w="2340"/>
      </w:tblGrid>
      <w:tr w:rsidR="004F082C">
        <w:tblPrEx>
          <w:tblCellMar>
            <w:top w:w="0" w:type="dxa"/>
            <w:bottom w:w="0" w:type="dxa"/>
          </w:tblCellMar>
        </w:tblPrEx>
        <w:tc>
          <w:tcPr>
            <w:tcW w:w="3171" w:type="dxa"/>
          </w:tcPr>
          <w:p w:rsidR="004F082C" w:rsidRDefault="004F082C">
            <w:pPr>
              <w:rPr>
                <w:rFonts w:ascii="Times New Roman" w:hAnsi="Times New Roman"/>
                <w:sz w:val="24"/>
              </w:rPr>
            </w:pPr>
            <w:smartTag w:uri="urn:schemas-microsoft-com:office:smarttags" w:element="place">
              <w:smartTag w:uri="urn:schemas-microsoft-com:office:smarttags" w:element="PlaceName">
                <w:r>
                  <w:rPr>
                    <w:rFonts w:ascii="Times New Roman" w:hAnsi="Times New Roman"/>
                    <w:sz w:val="24"/>
                  </w:rPr>
                  <w:t>Major</w:t>
                </w:r>
              </w:smartTag>
              <w:r>
                <w:rPr>
                  <w:rFonts w:ascii="Times New Roman" w:hAnsi="Times New Roman"/>
                  <w:sz w:val="24"/>
                </w:rPr>
                <w:t xml:space="preserve"> </w:t>
              </w:r>
              <w:smartTag w:uri="urn:schemas-microsoft-com:office:smarttags" w:element="PlaceType">
                <w:r>
                  <w:rPr>
                    <w:rFonts w:ascii="Times New Roman" w:hAnsi="Times New Roman"/>
                    <w:sz w:val="24"/>
                  </w:rPr>
                  <w:t>Peaks</w:t>
                </w:r>
              </w:smartTag>
            </w:smartTag>
            <w:r>
              <w:rPr>
                <w:rFonts w:ascii="Times New Roman" w:hAnsi="Times New Roman"/>
                <w:sz w:val="24"/>
              </w:rPr>
              <w:t xml:space="preserve"> (cm</w:t>
            </w:r>
            <w:r>
              <w:rPr>
                <w:rFonts w:ascii="Times New Roman" w:hAnsi="Times New Roman"/>
                <w:sz w:val="24"/>
                <w:vertAlign w:val="superscript"/>
              </w:rPr>
              <w:t>-1</w:t>
            </w:r>
            <w:r>
              <w:rPr>
                <w:rFonts w:ascii="Times New Roman" w:hAnsi="Times New Roman"/>
                <w:sz w:val="24"/>
              </w:rPr>
              <w:t>)</w:t>
            </w:r>
          </w:p>
        </w:tc>
        <w:tc>
          <w:tcPr>
            <w:tcW w:w="1329" w:type="dxa"/>
          </w:tcPr>
          <w:p w:rsidR="004F082C" w:rsidRDefault="004F082C">
            <w:pPr>
              <w:rPr>
                <w:rFonts w:ascii="Times New Roman" w:hAnsi="Times New Roman"/>
                <w:sz w:val="24"/>
              </w:rPr>
            </w:pPr>
          </w:p>
        </w:tc>
        <w:tc>
          <w:tcPr>
            <w:tcW w:w="2340" w:type="dxa"/>
          </w:tcPr>
          <w:p w:rsidR="004F082C" w:rsidRDefault="004F082C">
            <w:pPr>
              <w:rPr>
                <w:rFonts w:ascii="Times New Roman" w:hAnsi="Times New Roman"/>
                <w:sz w:val="24"/>
              </w:rPr>
            </w:pPr>
            <w:r>
              <w:rPr>
                <w:rFonts w:ascii="Times New Roman" w:hAnsi="Times New Roman"/>
                <w:sz w:val="24"/>
              </w:rPr>
              <w:t>Functional groups</w:t>
            </w:r>
          </w:p>
        </w:tc>
        <w:tc>
          <w:tcPr>
            <w:tcW w:w="2340" w:type="dxa"/>
          </w:tcPr>
          <w:p w:rsidR="004F082C" w:rsidRDefault="004F082C">
            <w:pPr>
              <w:rPr>
                <w:rFonts w:ascii="Times New Roman" w:hAnsi="Times New Roman"/>
                <w:sz w:val="24"/>
              </w:rPr>
            </w:pPr>
            <w:r>
              <w:rPr>
                <w:rFonts w:ascii="Times New Roman" w:hAnsi="Times New Roman"/>
                <w:sz w:val="24"/>
              </w:rPr>
              <w:t>Identity of Unknown</w:t>
            </w:r>
          </w:p>
        </w:tc>
      </w:tr>
      <w:tr w:rsidR="004F082C">
        <w:tblPrEx>
          <w:tblCellMar>
            <w:top w:w="0" w:type="dxa"/>
            <w:bottom w:w="0" w:type="dxa"/>
          </w:tblCellMar>
        </w:tblPrEx>
        <w:tc>
          <w:tcPr>
            <w:tcW w:w="3171" w:type="dxa"/>
          </w:tcPr>
          <w:p w:rsidR="004F082C" w:rsidRDefault="004F082C">
            <w:pPr>
              <w:rPr>
                <w:rFonts w:ascii="Times New Roman" w:hAnsi="Times New Roman"/>
                <w:sz w:val="24"/>
              </w:rPr>
            </w:pPr>
            <w:r>
              <w:rPr>
                <w:rFonts w:ascii="Times New Roman" w:hAnsi="Times New Roman"/>
                <w:sz w:val="24"/>
              </w:rPr>
              <w:t>_______________</w:t>
            </w:r>
          </w:p>
        </w:tc>
        <w:tc>
          <w:tcPr>
            <w:tcW w:w="1329" w:type="dxa"/>
          </w:tcPr>
          <w:p w:rsidR="004F082C" w:rsidRDefault="004F082C">
            <w:pPr>
              <w:rPr>
                <w:rFonts w:ascii="Times New Roman" w:hAnsi="Times New Roman"/>
                <w:sz w:val="24"/>
              </w:rPr>
            </w:pPr>
          </w:p>
        </w:tc>
        <w:tc>
          <w:tcPr>
            <w:tcW w:w="2340" w:type="dxa"/>
          </w:tcPr>
          <w:p w:rsidR="004F082C" w:rsidRDefault="004F082C">
            <w:pPr>
              <w:rPr>
                <w:rFonts w:ascii="Times New Roman" w:hAnsi="Times New Roman"/>
                <w:sz w:val="24"/>
              </w:rPr>
            </w:pPr>
            <w:r>
              <w:rPr>
                <w:rFonts w:ascii="Times New Roman" w:hAnsi="Times New Roman"/>
                <w:sz w:val="24"/>
              </w:rPr>
              <w:t>________________</w:t>
            </w:r>
          </w:p>
        </w:tc>
        <w:tc>
          <w:tcPr>
            <w:tcW w:w="2340" w:type="dxa"/>
            <w:vMerge w:val="restart"/>
          </w:tcPr>
          <w:p w:rsidR="004F082C" w:rsidRDefault="004F082C">
            <w:pPr>
              <w:rPr>
                <w:rFonts w:ascii="Times New Roman" w:hAnsi="Times New Roman"/>
                <w:sz w:val="24"/>
              </w:rPr>
            </w:pPr>
          </w:p>
        </w:tc>
      </w:tr>
      <w:tr w:rsidR="004F082C">
        <w:tblPrEx>
          <w:tblCellMar>
            <w:top w:w="0" w:type="dxa"/>
            <w:bottom w:w="0" w:type="dxa"/>
          </w:tblCellMar>
        </w:tblPrEx>
        <w:tc>
          <w:tcPr>
            <w:tcW w:w="3171" w:type="dxa"/>
          </w:tcPr>
          <w:p w:rsidR="004F082C" w:rsidRDefault="004F082C">
            <w:pPr>
              <w:rPr>
                <w:rFonts w:ascii="Times New Roman" w:hAnsi="Times New Roman"/>
                <w:sz w:val="24"/>
              </w:rPr>
            </w:pPr>
            <w:r>
              <w:rPr>
                <w:rFonts w:ascii="Times New Roman" w:hAnsi="Times New Roman"/>
                <w:sz w:val="24"/>
              </w:rPr>
              <w:t>_______________</w:t>
            </w:r>
          </w:p>
        </w:tc>
        <w:tc>
          <w:tcPr>
            <w:tcW w:w="1329" w:type="dxa"/>
          </w:tcPr>
          <w:p w:rsidR="004F082C" w:rsidRDefault="004F082C">
            <w:pPr>
              <w:rPr>
                <w:rFonts w:ascii="Times New Roman" w:hAnsi="Times New Roman"/>
                <w:sz w:val="24"/>
              </w:rPr>
            </w:pPr>
          </w:p>
        </w:tc>
        <w:tc>
          <w:tcPr>
            <w:tcW w:w="2340" w:type="dxa"/>
          </w:tcPr>
          <w:p w:rsidR="004F082C" w:rsidRDefault="004F082C">
            <w:pPr>
              <w:rPr>
                <w:rFonts w:ascii="Times New Roman" w:hAnsi="Times New Roman"/>
                <w:sz w:val="24"/>
              </w:rPr>
            </w:pPr>
            <w:r>
              <w:rPr>
                <w:rFonts w:ascii="Times New Roman" w:hAnsi="Times New Roman"/>
                <w:sz w:val="24"/>
              </w:rPr>
              <w:t>________________</w:t>
            </w:r>
          </w:p>
        </w:tc>
        <w:tc>
          <w:tcPr>
            <w:tcW w:w="2340" w:type="dxa"/>
            <w:vMerge/>
          </w:tcPr>
          <w:p w:rsidR="004F082C" w:rsidRDefault="004F082C">
            <w:pPr>
              <w:rPr>
                <w:rFonts w:ascii="Times New Roman" w:hAnsi="Times New Roman"/>
                <w:sz w:val="24"/>
              </w:rPr>
            </w:pPr>
          </w:p>
        </w:tc>
      </w:tr>
      <w:tr w:rsidR="004F082C">
        <w:tblPrEx>
          <w:tblCellMar>
            <w:top w:w="0" w:type="dxa"/>
            <w:bottom w:w="0" w:type="dxa"/>
          </w:tblCellMar>
        </w:tblPrEx>
        <w:tc>
          <w:tcPr>
            <w:tcW w:w="3171" w:type="dxa"/>
          </w:tcPr>
          <w:p w:rsidR="004F082C" w:rsidRDefault="004F082C">
            <w:pPr>
              <w:rPr>
                <w:rFonts w:ascii="Times New Roman" w:hAnsi="Times New Roman"/>
                <w:sz w:val="24"/>
              </w:rPr>
            </w:pPr>
            <w:r>
              <w:rPr>
                <w:rFonts w:ascii="Times New Roman" w:hAnsi="Times New Roman"/>
                <w:sz w:val="24"/>
              </w:rPr>
              <w:t>_______________</w:t>
            </w:r>
          </w:p>
        </w:tc>
        <w:tc>
          <w:tcPr>
            <w:tcW w:w="1329" w:type="dxa"/>
          </w:tcPr>
          <w:p w:rsidR="004F082C" w:rsidRDefault="004F082C">
            <w:pPr>
              <w:rPr>
                <w:rFonts w:ascii="Times New Roman" w:hAnsi="Times New Roman"/>
                <w:sz w:val="24"/>
              </w:rPr>
            </w:pPr>
          </w:p>
        </w:tc>
        <w:tc>
          <w:tcPr>
            <w:tcW w:w="2340" w:type="dxa"/>
          </w:tcPr>
          <w:p w:rsidR="004F082C" w:rsidRDefault="004F082C">
            <w:pPr>
              <w:rPr>
                <w:rFonts w:ascii="Times New Roman" w:hAnsi="Times New Roman"/>
                <w:sz w:val="24"/>
              </w:rPr>
            </w:pPr>
            <w:r>
              <w:rPr>
                <w:rFonts w:ascii="Times New Roman" w:hAnsi="Times New Roman"/>
                <w:sz w:val="24"/>
              </w:rPr>
              <w:t>________________</w:t>
            </w:r>
          </w:p>
        </w:tc>
        <w:tc>
          <w:tcPr>
            <w:tcW w:w="2340" w:type="dxa"/>
            <w:vMerge/>
          </w:tcPr>
          <w:p w:rsidR="004F082C" w:rsidRDefault="004F082C">
            <w:pPr>
              <w:rPr>
                <w:rFonts w:ascii="Times New Roman" w:hAnsi="Times New Roman"/>
                <w:sz w:val="24"/>
              </w:rPr>
            </w:pPr>
          </w:p>
        </w:tc>
      </w:tr>
      <w:tr w:rsidR="004F082C">
        <w:tblPrEx>
          <w:tblCellMar>
            <w:top w:w="0" w:type="dxa"/>
            <w:bottom w:w="0" w:type="dxa"/>
          </w:tblCellMar>
        </w:tblPrEx>
        <w:tc>
          <w:tcPr>
            <w:tcW w:w="3171" w:type="dxa"/>
          </w:tcPr>
          <w:p w:rsidR="004F082C" w:rsidRDefault="004F082C">
            <w:pPr>
              <w:rPr>
                <w:rFonts w:ascii="Times New Roman" w:hAnsi="Times New Roman"/>
                <w:sz w:val="24"/>
              </w:rPr>
            </w:pPr>
            <w:r>
              <w:rPr>
                <w:rFonts w:ascii="Times New Roman" w:hAnsi="Times New Roman"/>
                <w:sz w:val="24"/>
              </w:rPr>
              <w:t>_______________</w:t>
            </w:r>
          </w:p>
        </w:tc>
        <w:tc>
          <w:tcPr>
            <w:tcW w:w="1329" w:type="dxa"/>
          </w:tcPr>
          <w:p w:rsidR="004F082C" w:rsidRDefault="004F082C">
            <w:pPr>
              <w:rPr>
                <w:rFonts w:ascii="Times New Roman" w:hAnsi="Times New Roman"/>
                <w:sz w:val="24"/>
              </w:rPr>
            </w:pPr>
          </w:p>
        </w:tc>
        <w:tc>
          <w:tcPr>
            <w:tcW w:w="2340" w:type="dxa"/>
          </w:tcPr>
          <w:p w:rsidR="004F082C" w:rsidRDefault="004F082C">
            <w:pPr>
              <w:rPr>
                <w:rFonts w:ascii="Times New Roman" w:hAnsi="Times New Roman"/>
                <w:sz w:val="24"/>
              </w:rPr>
            </w:pPr>
            <w:r>
              <w:rPr>
                <w:rFonts w:ascii="Times New Roman" w:hAnsi="Times New Roman"/>
                <w:sz w:val="24"/>
              </w:rPr>
              <w:t>________________</w:t>
            </w:r>
          </w:p>
        </w:tc>
        <w:tc>
          <w:tcPr>
            <w:tcW w:w="2340" w:type="dxa"/>
            <w:vMerge/>
          </w:tcPr>
          <w:p w:rsidR="004F082C" w:rsidRDefault="004F082C">
            <w:pPr>
              <w:rPr>
                <w:rFonts w:ascii="Times New Roman" w:hAnsi="Times New Roman"/>
                <w:sz w:val="24"/>
              </w:rPr>
            </w:pPr>
          </w:p>
        </w:tc>
      </w:tr>
      <w:tr w:rsidR="004F082C">
        <w:tblPrEx>
          <w:tblCellMar>
            <w:top w:w="0" w:type="dxa"/>
            <w:bottom w:w="0" w:type="dxa"/>
          </w:tblCellMar>
        </w:tblPrEx>
        <w:tc>
          <w:tcPr>
            <w:tcW w:w="3171" w:type="dxa"/>
          </w:tcPr>
          <w:p w:rsidR="004F082C" w:rsidRDefault="004F082C">
            <w:pPr>
              <w:rPr>
                <w:rFonts w:ascii="Times New Roman" w:hAnsi="Times New Roman"/>
                <w:sz w:val="24"/>
              </w:rPr>
            </w:pPr>
            <w:r>
              <w:rPr>
                <w:rFonts w:ascii="Times New Roman" w:hAnsi="Times New Roman"/>
                <w:sz w:val="24"/>
              </w:rPr>
              <w:t>_______________</w:t>
            </w:r>
          </w:p>
        </w:tc>
        <w:tc>
          <w:tcPr>
            <w:tcW w:w="1329" w:type="dxa"/>
          </w:tcPr>
          <w:p w:rsidR="004F082C" w:rsidRDefault="004F082C">
            <w:pPr>
              <w:rPr>
                <w:rFonts w:ascii="Times New Roman" w:hAnsi="Times New Roman"/>
                <w:sz w:val="24"/>
              </w:rPr>
            </w:pPr>
          </w:p>
        </w:tc>
        <w:tc>
          <w:tcPr>
            <w:tcW w:w="2340" w:type="dxa"/>
          </w:tcPr>
          <w:p w:rsidR="004F082C" w:rsidRDefault="004F082C">
            <w:pPr>
              <w:rPr>
                <w:rFonts w:ascii="Times New Roman" w:hAnsi="Times New Roman"/>
                <w:sz w:val="24"/>
              </w:rPr>
            </w:pPr>
            <w:r>
              <w:rPr>
                <w:rFonts w:ascii="Times New Roman" w:hAnsi="Times New Roman"/>
                <w:sz w:val="24"/>
              </w:rPr>
              <w:t>________________</w:t>
            </w:r>
          </w:p>
        </w:tc>
        <w:tc>
          <w:tcPr>
            <w:tcW w:w="2340" w:type="dxa"/>
            <w:vMerge/>
          </w:tcPr>
          <w:p w:rsidR="004F082C" w:rsidRDefault="004F082C">
            <w:pPr>
              <w:rPr>
                <w:rFonts w:ascii="Times New Roman" w:hAnsi="Times New Roman"/>
                <w:sz w:val="24"/>
              </w:rPr>
            </w:pPr>
          </w:p>
        </w:tc>
      </w:tr>
    </w:tbl>
    <w:p w:rsidR="006F5B81" w:rsidRDefault="006F5B81">
      <w:pPr>
        <w:ind w:left="1170" w:hanging="1170"/>
        <w:rPr>
          <w:rFonts w:ascii="Times New Roman" w:hAnsi="Times New Roman"/>
          <w:sz w:val="24"/>
        </w:rPr>
      </w:pPr>
    </w:p>
    <w:p w:rsidR="006F5B81" w:rsidRDefault="006F5B81">
      <w:pPr>
        <w:ind w:left="1170" w:hanging="1170"/>
        <w:rPr>
          <w:rFonts w:ascii="Times New Roman" w:hAnsi="Times New Roman"/>
          <w:sz w:val="24"/>
        </w:rPr>
      </w:pPr>
    </w:p>
    <w:p w:rsidR="006F5B81" w:rsidRDefault="006F5B81">
      <w:pPr>
        <w:ind w:left="1170" w:hanging="1170"/>
        <w:rPr>
          <w:rFonts w:ascii="Times New Roman" w:hAnsi="Times New Roman"/>
          <w:sz w:val="24"/>
        </w:rPr>
      </w:pPr>
      <w:proofErr w:type="gramStart"/>
      <w:r>
        <w:rPr>
          <w:rFonts w:ascii="Times New Roman" w:hAnsi="Times New Roman"/>
          <w:sz w:val="24"/>
        </w:rPr>
        <w:t>Sample:_</w:t>
      </w:r>
      <w:proofErr w:type="gramEnd"/>
      <w:r>
        <w:rPr>
          <w:rFonts w:ascii="Times New Roman" w:hAnsi="Times New Roman"/>
          <w:sz w:val="24"/>
        </w:rPr>
        <w:t>____________________</w:t>
      </w:r>
    </w:p>
    <w:p w:rsidR="006F5B81" w:rsidRDefault="006F5B81" w:rsidP="004F082C">
      <w:pPr>
        <w:rPr>
          <w:rFonts w:ascii="Times New Roman" w:hAnsi="Times New Roman"/>
          <w:sz w:val="24"/>
        </w:rPr>
      </w:pPr>
    </w:p>
    <w:tbl>
      <w:tblPr>
        <w:tblW w:w="9180" w:type="dxa"/>
        <w:tblInd w:w="468" w:type="dxa"/>
        <w:tblLayout w:type="fixed"/>
        <w:tblLook w:val="0000" w:firstRow="0" w:lastRow="0" w:firstColumn="0" w:lastColumn="0" w:noHBand="0" w:noVBand="0"/>
      </w:tblPr>
      <w:tblGrid>
        <w:gridCol w:w="3171"/>
        <w:gridCol w:w="1329"/>
        <w:gridCol w:w="2340"/>
        <w:gridCol w:w="2340"/>
      </w:tblGrid>
      <w:tr w:rsidR="004F082C">
        <w:tblPrEx>
          <w:tblCellMar>
            <w:top w:w="0" w:type="dxa"/>
            <w:bottom w:w="0" w:type="dxa"/>
          </w:tblCellMar>
        </w:tblPrEx>
        <w:tc>
          <w:tcPr>
            <w:tcW w:w="3171" w:type="dxa"/>
          </w:tcPr>
          <w:p w:rsidR="004F082C" w:rsidRDefault="004F082C">
            <w:pPr>
              <w:rPr>
                <w:rFonts w:ascii="Times New Roman" w:hAnsi="Times New Roman"/>
                <w:sz w:val="24"/>
              </w:rPr>
            </w:pPr>
            <w:smartTag w:uri="urn:schemas-microsoft-com:office:smarttags" w:element="place">
              <w:smartTag w:uri="urn:schemas-microsoft-com:office:smarttags" w:element="PlaceName">
                <w:r>
                  <w:rPr>
                    <w:rFonts w:ascii="Times New Roman" w:hAnsi="Times New Roman"/>
                    <w:sz w:val="24"/>
                  </w:rPr>
                  <w:t>Major</w:t>
                </w:r>
              </w:smartTag>
              <w:r>
                <w:rPr>
                  <w:rFonts w:ascii="Times New Roman" w:hAnsi="Times New Roman"/>
                  <w:sz w:val="24"/>
                </w:rPr>
                <w:t xml:space="preserve"> </w:t>
              </w:r>
              <w:smartTag w:uri="urn:schemas-microsoft-com:office:smarttags" w:element="PlaceType">
                <w:r>
                  <w:rPr>
                    <w:rFonts w:ascii="Times New Roman" w:hAnsi="Times New Roman"/>
                    <w:sz w:val="24"/>
                  </w:rPr>
                  <w:t>Peaks</w:t>
                </w:r>
              </w:smartTag>
            </w:smartTag>
            <w:r>
              <w:rPr>
                <w:rFonts w:ascii="Times New Roman" w:hAnsi="Times New Roman"/>
                <w:sz w:val="24"/>
              </w:rPr>
              <w:t xml:space="preserve"> (cm</w:t>
            </w:r>
            <w:r>
              <w:rPr>
                <w:rFonts w:ascii="Times New Roman" w:hAnsi="Times New Roman"/>
                <w:sz w:val="24"/>
                <w:vertAlign w:val="superscript"/>
              </w:rPr>
              <w:t>-1</w:t>
            </w:r>
            <w:r>
              <w:rPr>
                <w:rFonts w:ascii="Times New Roman" w:hAnsi="Times New Roman"/>
                <w:sz w:val="24"/>
              </w:rPr>
              <w:t>)</w:t>
            </w:r>
          </w:p>
        </w:tc>
        <w:tc>
          <w:tcPr>
            <w:tcW w:w="1329" w:type="dxa"/>
          </w:tcPr>
          <w:p w:rsidR="004F082C" w:rsidRDefault="004F082C">
            <w:pPr>
              <w:rPr>
                <w:rFonts w:ascii="Times New Roman" w:hAnsi="Times New Roman"/>
                <w:sz w:val="24"/>
              </w:rPr>
            </w:pPr>
          </w:p>
        </w:tc>
        <w:tc>
          <w:tcPr>
            <w:tcW w:w="2340" w:type="dxa"/>
          </w:tcPr>
          <w:p w:rsidR="004F082C" w:rsidRDefault="004F082C">
            <w:pPr>
              <w:rPr>
                <w:rFonts w:ascii="Times New Roman" w:hAnsi="Times New Roman"/>
                <w:sz w:val="24"/>
              </w:rPr>
            </w:pPr>
            <w:r>
              <w:rPr>
                <w:rFonts w:ascii="Times New Roman" w:hAnsi="Times New Roman"/>
                <w:sz w:val="24"/>
              </w:rPr>
              <w:t>Functional groups</w:t>
            </w:r>
          </w:p>
        </w:tc>
        <w:tc>
          <w:tcPr>
            <w:tcW w:w="2340" w:type="dxa"/>
          </w:tcPr>
          <w:p w:rsidR="004F082C" w:rsidRDefault="004F082C">
            <w:pPr>
              <w:rPr>
                <w:rFonts w:ascii="Times New Roman" w:hAnsi="Times New Roman"/>
                <w:sz w:val="24"/>
              </w:rPr>
            </w:pPr>
            <w:r>
              <w:rPr>
                <w:rFonts w:ascii="Times New Roman" w:hAnsi="Times New Roman"/>
                <w:sz w:val="24"/>
              </w:rPr>
              <w:t>Identity of Unknown</w:t>
            </w:r>
          </w:p>
        </w:tc>
      </w:tr>
      <w:tr w:rsidR="004F082C">
        <w:tblPrEx>
          <w:tblCellMar>
            <w:top w:w="0" w:type="dxa"/>
            <w:bottom w:w="0" w:type="dxa"/>
          </w:tblCellMar>
        </w:tblPrEx>
        <w:tc>
          <w:tcPr>
            <w:tcW w:w="3171" w:type="dxa"/>
          </w:tcPr>
          <w:p w:rsidR="004F082C" w:rsidRDefault="004F082C">
            <w:pPr>
              <w:rPr>
                <w:rFonts w:ascii="Times New Roman" w:hAnsi="Times New Roman"/>
                <w:sz w:val="24"/>
              </w:rPr>
            </w:pPr>
            <w:r>
              <w:rPr>
                <w:rFonts w:ascii="Times New Roman" w:hAnsi="Times New Roman"/>
                <w:sz w:val="24"/>
              </w:rPr>
              <w:t>_______________</w:t>
            </w:r>
          </w:p>
        </w:tc>
        <w:tc>
          <w:tcPr>
            <w:tcW w:w="1329" w:type="dxa"/>
          </w:tcPr>
          <w:p w:rsidR="004F082C" w:rsidRDefault="004F082C">
            <w:pPr>
              <w:rPr>
                <w:rFonts w:ascii="Times New Roman" w:hAnsi="Times New Roman"/>
                <w:sz w:val="24"/>
              </w:rPr>
            </w:pPr>
          </w:p>
        </w:tc>
        <w:tc>
          <w:tcPr>
            <w:tcW w:w="2340" w:type="dxa"/>
          </w:tcPr>
          <w:p w:rsidR="004F082C" w:rsidRDefault="004F082C">
            <w:pPr>
              <w:rPr>
                <w:rFonts w:ascii="Times New Roman" w:hAnsi="Times New Roman"/>
                <w:sz w:val="24"/>
              </w:rPr>
            </w:pPr>
            <w:r>
              <w:rPr>
                <w:rFonts w:ascii="Times New Roman" w:hAnsi="Times New Roman"/>
                <w:sz w:val="24"/>
              </w:rPr>
              <w:t>________________</w:t>
            </w:r>
          </w:p>
        </w:tc>
        <w:tc>
          <w:tcPr>
            <w:tcW w:w="2340" w:type="dxa"/>
            <w:vMerge w:val="restart"/>
          </w:tcPr>
          <w:p w:rsidR="004F082C" w:rsidRDefault="004F082C" w:rsidP="004F082C">
            <w:pPr>
              <w:jc w:val="center"/>
              <w:rPr>
                <w:rFonts w:ascii="Times New Roman" w:hAnsi="Times New Roman"/>
                <w:sz w:val="24"/>
              </w:rPr>
            </w:pPr>
          </w:p>
        </w:tc>
      </w:tr>
      <w:tr w:rsidR="004F082C">
        <w:tblPrEx>
          <w:tblCellMar>
            <w:top w:w="0" w:type="dxa"/>
            <w:bottom w:w="0" w:type="dxa"/>
          </w:tblCellMar>
        </w:tblPrEx>
        <w:tc>
          <w:tcPr>
            <w:tcW w:w="3171" w:type="dxa"/>
          </w:tcPr>
          <w:p w:rsidR="004F082C" w:rsidRDefault="004F082C">
            <w:pPr>
              <w:rPr>
                <w:rFonts w:ascii="Times New Roman" w:hAnsi="Times New Roman"/>
                <w:sz w:val="24"/>
              </w:rPr>
            </w:pPr>
            <w:r>
              <w:rPr>
                <w:rFonts w:ascii="Times New Roman" w:hAnsi="Times New Roman"/>
                <w:sz w:val="24"/>
              </w:rPr>
              <w:t>_______________</w:t>
            </w:r>
          </w:p>
        </w:tc>
        <w:tc>
          <w:tcPr>
            <w:tcW w:w="1329" w:type="dxa"/>
          </w:tcPr>
          <w:p w:rsidR="004F082C" w:rsidRDefault="004F082C">
            <w:pPr>
              <w:rPr>
                <w:rFonts w:ascii="Times New Roman" w:hAnsi="Times New Roman"/>
                <w:sz w:val="24"/>
              </w:rPr>
            </w:pPr>
          </w:p>
        </w:tc>
        <w:tc>
          <w:tcPr>
            <w:tcW w:w="2340" w:type="dxa"/>
          </w:tcPr>
          <w:p w:rsidR="004F082C" w:rsidRDefault="004F082C">
            <w:pPr>
              <w:rPr>
                <w:rFonts w:ascii="Times New Roman" w:hAnsi="Times New Roman"/>
                <w:sz w:val="24"/>
              </w:rPr>
            </w:pPr>
            <w:r>
              <w:rPr>
                <w:rFonts w:ascii="Times New Roman" w:hAnsi="Times New Roman"/>
                <w:sz w:val="24"/>
              </w:rPr>
              <w:t>________________</w:t>
            </w:r>
          </w:p>
        </w:tc>
        <w:tc>
          <w:tcPr>
            <w:tcW w:w="2340" w:type="dxa"/>
            <w:vMerge/>
          </w:tcPr>
          <w:p w:rsidR="004F082C" w:rsidRDefault="004F082C">
            <w:pPr>
              <w:rPr>
                <w:rFonts w:ascii="Times New Roman" w:hAnsi="Times New Roman"/>
                <w:sz w:val="24"/>
              </w:rPr>
            </w:pPr>
          </w:p>
        </w:tc>
      </w:tr>
      <w:tr w:rsidR="004F082C">
        <w:tblPrEx>
          <w:tblCellMar>
            <w:top w:w="0" w:type="dxa"/>
            <w:bottom w:w="0" w:type="dxa"/>
          </w:tblCellMar>
        </w:tblPrEx>
        <w:tc>
          <w:tcPr>
            <w:tcW w:w="3171" w:type="dxa"/>
          </w:tcPr>
          <w:p w:rsidR="004F082C" w:rsidRDefault="004F082C">
            <w:pPr>
              <w:rPr>
                <w:rFonts w:ascii="Times New Roman" w:hAnsi="Times New Roman"/>
                <w:sz w:val="24"/>
              </w:rPr>
            </w:pPr>
            <w:r>
              <w:rPr>
                <w:rFonts w:ascii="Times New Roman" w:hAnsi="Times New Roman"/>
                <w:sz w:val="24"/>
              </w:rPr>
              <w:t>_______________</w:t>
            </w:r>
          </w:p>
        </w:tc>
        <w:tc>
          <w:tcPr>
            <w:tcW w:w="1329" w:type="dxa"/>
          </w:tcPr>
          <w:p w:rsidR="004F082C" w:rsidRDefault="004F082C">
            <w:pPr>
              <w:rPr>
                <w:rFonts w:ascii="Times New Roman" w:hAnsi="Times New Roman"/>
                <w:sz w:val="24"/>
              </w:rPr>
            </w:pPr>
          </w:p>
        </w:tc>
        <w:tc>
          <w:tcPr>
            <w:tcW w:w="2340" w:type="dxa"/>
          </w:tcPr>
          <w:p w:rsidR="004F082C" w:rsidRDefault="004F082C">
            <w:pPr>
              <w:rPr>
                <w:rFonts w:ascii="Times New Roman" w:hAnsi="Times New Roman"/>
                <w:sz w:val="24"/>
              </w:rPr>
            </w:pPr>
            <w:r>
              <w:rPr>
                <w:rFonts w:ascii="Times New Roman" w:hAnsi="Times New Roman"/>
                <w:sz w:val="24"/>
              </w:rPr>
              <w:t>________________</w:t>
            </w:r>
          </w:p>
        </w:tc>
        <w:tc>
          <w:tcPr>
            <w:tcW w:w="2340" w:type="dxa"/>
            <w:vMerge/>
          </w:tcPr>
          <w:p w:rsidR="004F082C" w:rsidRDefault="004F082C">
            <w:pPr>
              <w:rPr>
                <w:rFonts w:ascii="Times New Roman" w:hAnsi="Times New Roman"/>
                <w:sz w:val="24"/>
              </w:rPr>
            </w:pPr>
          </w:p>
        </w:tc>
      </w:tr>
      <w:tr w:rsidR="004F082C">
        <w:tblPrEx>
          <w:tblCellMar>
            <w:top w:w="0" w:type="dxa"/>
            <w:bottom w:w="0" w:type="dxa"/>
          </w:tblCellMar>
        </w:tblPrEx>
        <w:tc>
          <w:tcPr>
            <w:tcW w:w="3171" w:type="dxa"/>
          </w:tcPr>
          <w:p w:rsidR="004F082C" w:rsidRDefault="004F082C">
            <w:pPr>
              <w:rPr>
                <w:rFonts w:ascii="Times New Roman" w:hAnsi="Times New Roman"/>
                <w:sz w:val="24"/>
              </w:rPr>
            </w:pPr>
            <w:r>
              <w:rPr>
                <w:rFonts w:ascii="Times New Roman" w:hAnsi="Times New Roman"/>
                <w:sz w:val="24"/>
              </w:rPr>
              <w:t>_______________</w:t>
            </w:r>
          </w:p>
        </w:tc>
        <w:tc>
          <w:tcPr>
            <w:tcW w:w="1329" w:type="dxa"/>
          </w:tcPr>
          <w:p w:rsidR="004F082C" w:rsidRDefault="004F082C">
            <w:pPr>
              <w:rPr>
                <w:rFonts w:ascii="Times New Roman" w:hAnsi="Times New Roman"/>
                <w:sz w:val="24"/>
              </w:rPr>
            </w:pPr>
          </w:p>
        </w:tc>
        <w:tc>
          <w:tcPr>
            <w:tcW w:w="2340" w:type="dxa"/>
          </w:tcPr>
          <w:p w:rsidR="004F082C" w:rsidRDefault="004F082C">
            <w:pPr>
              <w:rPr>
                <w:rFonts w:ascii="Times New Roman" w:hAnsi="Times New Roman"/>
                <w:sz w:val="24"/>
              </w:rPr>
            </w:pPr>
            <w:r>
              <w:rPr>
                <w:rFonts w:ascii="Times New Roman" w:hAnsi="Times New Roman"/>
                <w:sz w:val="24"/>
              </w:rPr>
              <w:t>________________</w:t>
            </w:r>
          </w:p>
        </w:tc>
        <w:tc>
          <w:tcPr>
            <w:tcW w:w="2340" w:type="dxa"/>
            <w:vMerge/>
          </w:tcPr>
          <w:p w:rsidR="004F082C" w:rsidRDefault="004F082C">
            <w:pPr>
              <w:rPr>
                <w:rFonts w:ascii="Times New Roman" w:hAnsi="Times New Roman"/>
                <w:sz w:val="24"/>
              </w:rPr>
            </w:pPr>
          </w:p>
        </w:tc>
      </w:tr>
      <w:tr w:rsidR="004F082C">
        <w:tblPrEx>
          <w:tblCellMar>
            <w:top w:w="0" w:type="dxa"/>
            <w:bottom w:w="0" w:type="dxa"/>
          </w:tblCellMar>
        </w:tblPrEx>
        <w:tc>
          <w:tcPr>
            <w:tcW w:w="3171" w:type="dxa"/>
          </w:tcPr>
          <w:p w:rsidR="004F082C" w:rsidRDefault="004F082C">
            <w:pPr>
              <w:rPr>
                <w:rFonts w:ascii="Times New Roman" w:hAnsi="Times New Roman"/>
                <w:sz w:val="24"/>
              </w:rPr>
            </w:pPr>
            <w:r>
              <w:rPr>
                <w:rFonts w:ascii="Times New Roman" w:hAnsi="Times New Roman"/>
                <w:sz w:val="24"/>
              </w:rPr>
              <w:t>_______________</w:t>
            </w:r>
          </w:p>
        </w:tc>
        <w:tc>
          <w:tcPr>
            <w:tcW w:w="1329" w:type="dxa"/>
          </w:tcPr>
          <w:p w:rsidR="004F082C" w:rsidRDefault="004F082C">
            <w:pPr>
              <w:rPr>
                <w:rFonts w:ascii="Times New Roman" w:hAnsi="Times New Roman"/>
                <w:sz w:val="24"/>
              </w:rPr>
            </w:pPr>
          </w:p>
        </w:tc>
        <w:tc>
          <w:tcPr>
            <w:tcW w:w="2340" w:type="dxa"/>
          </w:tcPr>
          <w:p w:rsidR="004F082C" w:rsidRDefault="004F082C">
            <w:pPr>
              <w:rPr>
                <w:rFonts w:ascii="Times New Roman" w:hAnsi="Times New Roman"/>
                <w:sz w:val="24"/>
              </w:rPr>
            </w:pPr>
            <w:r>
              <w:rPr>
                <w:rFonts w:ascii="Times New Roman" w:hAnsi="Times New Roman"/>
                <w:sz w:val="24"/>
              </w:rPr>
              <w:t>________________</w:t>
            </w:r>
          </w:p>
        </w:tc>
        <w:tc>
          <w:tcPr>
            <w:tcW w:w="2340" w:type="dxa"/>
            <w:vMerge/>
          </w:tcPr>
          <w:p w:rsidR="004F082C" w:rsidRDefault="004F082C">
            <w:pPr>
              <w:rPr>
                <w:rFonts w:ascii="Times New Roman" w:hAnsi="Times New Roman"/>
                <w:sz w:val="24"/>
              </w:rPr>
            </w:pPr>
          </w:p>
        </w:tc>
      </w:tr>
    </w:tbl>
    <w:p w:rsidR="006F5B81" w:rsidRDefault="006F5B81">
      <w:pPr>
        <w:ind w:left="1170" w:hanging="1170"/>
        <w:rPr>
          <w:rFonts w:ascii="Times New Roman" w:hAnsi="Times New Roman"/>
          <w:sz w:val="24"/>
        </w:rPr>
      </w:pPr>
    </w:p>
    <w:p w:rsidR="006F5B81" w:rsidRPr="004F082C" w:rsidRDefault="006F5B81">
      <w:pPr>
        <w:ind w:left="1170" w:hanging="1170"/>
        <w:rPr>
          <w:rFonts w:ascii="Times New Roman" w:hAnsi="Times New Roman"/>
          <w:b/>
          <w:sz w:val="24"/>
        </w:rPr>
      </w:pPr>
      <w:r w:rsidRPr="004F082C">
        <w:rPr>
          <w:rFonts w:ascii="Times New Roman" w:hAnsi="Times New Roman"/>
          <w:b/>
          <w:sz w:val="24"/>
        </w:rPr>
        <w:t>Attach Spectrum</w:t>
      </w:r>
    </w:p>
    <w:p w:rsidR="006F5B81" w:rsidRDefault="006F5B81">
      <w:pPr>
        <w:ind w:left="1170" w:hanging="1170"/>
        <w:rPr>
          <w:rFonts w:ascii="Times New Roman" w:hAnsi="Times New Roman"/>
          <w:sz w:val="24"/>
        </w:rPr>
      </w:pPr>
      <w:r>
        <w:rPr>
          <w:rFonts w:ascii="Times New Roman" w:hAnsi="Times New Roman"/>
          <w:b/>
          <w:sz w:val="24"/>
        </w:rPr>
        <w:br w:type="page"/>
      </w:r>
      <w:r>
        <w:rPr>
          <w:rFonts w:ascii="Times New Roman" w:hAnsi="Times New Roman"/>
          <w:b/>
          <w:sz w:val="24"/>
        </w:rPr>
        <w:lastRenderedPageBreak/>
        <w:t>Questions:</w:t>
      </w:r>
    </w:p>
    <w:p w:rsidR="006F5B81" w:rsidRDefault="006F5B81">
      <w:pPr>
        <w:ind w:left="450" w:right="-990" w:hanging="450"/>
        <w:rPr>
          <w:rFonts w:ascii="Times New Roman" w:hAnsi="Times New Roman"/>
          <w:sz w:val="24"/>
        </w:rPr>
      </w:pPr>
    </w:p>
    <w:p w:rsidR="008B50E3" w:rsidRDefault="006F5B81" w:rsidP="008B50E3">
      <w:pPr>
        <w:spacing w:after="1680"/>
        <w:ind w:left="450" w:right="-990" w:hanging="450"/>
        <w:rPr>
          <w:rFonts w:ascii="Times New Roman" w:hAnsi="Times New Roman"/>
          <w:sz w:val="24"/>
        </w:rPr>
      </w:pPr>
      <w:r>
        <w:rPr>
          <w:rFonts w:ascii="Times New Roman" w:hAnsi="Times New Roman"/>
          <w:sz w:val="24"/>
        </w:rPr>
        <w:t>1.</w:t>
      </w:r>
      <w:r>
        <w:rPr>
          <w:rFonts w:ascii="Times New Roman" w:hAnsi="Times New Roman"/>
          <w:sz w:val="24"/>
        </w:rPr>
        <w:tab/>
        <w:t>What is the identity of your sample?  How did you find this (include the reference)?</w:t>
      </w:r>
      <w:r w:rsidR="008B50E3">
        <w:rPr>
          <w:rFonts w:ascii="Times New Roman" w:hAnsi="Times New Roman"/>
          <w:sz w:val="24"/>
        </w:rPr>
        <w:t xml:space="preserve"> </w:t>
      </w:r>
    </w:p>
    <w:p w:rsidR="008B50E3" w:rsidRDefault="008B50E3" w:rsidP="008B50E3">
      <w:pPr>
        <w:spacing w:after="2280"/>
        <w:ind w:left="450" w:right="-990" w:hanging="450"/>
        <w:rPr>
          <w:rFonts w:ascii="Times New Roman" w:hAnsi="Times New Roman"/>
          <w:sz w:val="24"/>
        </w:rPr>
      </w:pPr>
      <w:r>
        <w:rPr>
          <w:rFonts w:ascii="Times New Roman" w:hAnsi="Times New Roman"/>
          <w:sz w:val="24"/>
        </w:rPr>
        <w:t>2</w:t>
      </w:r>
      <w:r w:rsidR="004F082C">
        <w:rPr>
          <w:rFonts w:ascii="Times New Roman" w:hAnsi="Times New Roman"/>
          <w:sz w:val="24"/>
        </w:rPr>
        <w:t>.</w:t>
      </w:r>
      <w:r w:rsidR="004F082C">
        <w:rPr>
          <w:rFonts w:ascii="Times New Roman" w:hAnsi="Times New Roman"/>
          <w:sz w:val="24"/>
        </w:rPr>
        <w:tab/>
        <w:t>Some IR</w:t>
      </w:r>
      <w:r w:rsidR="006F5B81">
        <w:rPr>
          <w:rFonts w:ascii="Times New Roman" w:hAnsi="Times New Roman"/>
          <w:sz w:val="24"/>
        </w:rPr>
        <w:t>s use salt plates to run the samples.  What can you conclude about the interaction of salt with infrared radiation?</w:t>
      </w:r>
      <w:r>
        <w:rPr>
          <w:rFonts w:ascii="Times New Roman" w:hAnsi="Times New Roman"/>
          <w:sz w:val="24"/>
        </w:rPr>
        <w:t xml:space="preserve"> </w:t>
      </w:r>
    </w:p>
    <w:p w:rsidR="006F5B81" w:rsidRDefault="008B50E3">
      <w:pPr>
        <w:ind w:left="450" w:right="-990" w:hanging="450"/>
        <w:rPr>
          <w:rFonts w:ascii="Times New Roman" w:hAnsi="Times New Roman"/>
          <w:sz w:val="24"/>
        </w:rPr>
      </w:pPr>
      <w:r>
        <w:rPr>
          <w:rFonts w:ascii="Times New Roman" w:hAnsi="Times New Roman"/>
          <w:sz w:val="24"/>
        </w:rPr>
        <w:t>3</w:t>
      </w:r>
      <w:r w:rsidR="006F5B81">
        <w:rPr>
          <w:rFonts w:ascii="Times New Roman" w:hAnsi="Times New Roman"/>
          <w:sz w:val="24"/>
        </w:rPr>
        <w:t>.</w:t>
      </w:r>
      <w:r w:rsidR="006F5B81">
        <w:rPr>
          <w:rFonts w:ascii="Times New Roman" w:hAnsi="Times New Roman"/>
          <w:sz w:val="24"/>
        </w:rPr>
        <w:tab/>
        <w:t>How do the frequency and wavelength of infrared radiation compare with visible radiation?</w:t>
      </w:r>
    </w:p>
    <w:p w:rsidR="006F5B81" w:rsidRDefault="006F5B81">
      <w:pPr>
        <w:ind w:left="1170" w:hanging="450"/>
        <w:rPr>
          <w:rFonts w:ascii="Times New Roman" w:hAnsi="Times New Roman"/>
          <w:sz w:val="24"/>
        </w:rPr>
      </w:pPr>
    </w:p>
    <w:p w:rsidR="006F5B81" w:rsidRDefault="006F5B81">
      <w:pPr>
        <w:ind w:left="1170" w:hanging="1170"/>
        <w:rPr>
          <w:rFonts w:ascii="Times New Roman" w:hAnsi="Times New Roman"/>
          <w:b/>
          <w:sz w:val="24"/>
        </w:rPr>
      </w:pPr>
    </w:p>
    <w:p w:rsidR="006F5B81" w:rsidRDefault="006F5B81">
      <w:pPr>
        <w:ind w:left="1170" w:hanging="1170"/>
        <w:jc w:val="center"/>
        <w:rPr>
          <w:rFonts w:ascii="Times New Roman" w:hAnsi="Times New Roman"/>
          <w:b/>
          <w:smallCaps/>
          <w:sz w:val="24"/>
        </w:rPr>
      </w:pPr>
      <w:r>
        <w:rPr>
          <w:rFonts w:ascii="Times New Roman" w:hAnsi="Times New Roman"/>
          <w:b/>
          <w:sz w:val="24"/>
        </w:rPr>
        <w:br w:type="page"/>
      </w:r>
      <w:r>
        <w:rPr>
          <w:rFonts w:ascii="Times New Roman" w:hAnsi="Times New Roman"/>
          <w:b/>
          <w:sz w:val="24"/>
        </w:rPr>
        <w:lastRenderedPageBreak/>
        <w:t xml:space="preserve">INFRARED </w:t>
      </w:r>
      <w:r>
        <w:rPr>
          <w:rFonts w:ascii="Times New Roman" w:hAnsi="Times New Roman"/>
          <w:b/>
          <w:smallCaps/>
          <w:sz w:val="24"/>
        </w:rPr>
        <w:t>Spectra of Pure Liquids</w:t>
      </w:r>
    </w:p>
    <w:p w:rsidR="006F5B81" w:rsidRDefault="006F5B81">
      <w:pPr>
        <w:ind w:left="1170" w:hanging="1170"/>
        <w:jc w:val="center"/>
        <w:rPr>
          <w:rFonts w:ascii="Times New Roman" w:hAnsi="Times New Roman"/>
          <w:b/>
          <w:sz w:val="24"/>
        </w:rPr>
      </w:pPr>
      <w:r>
        <w:rPr>
          <w:rFonts w:ascii="Times New Roman" w:hAnsi="Times New Roman"/>
          <w:b/>
          <w:smallCaps/>
          <w:sz w:val="24"/>
        </w:rPr>
        <w:t>Teacher Notes</w:t>
      </w:r>
    </w:p>
    <w:p w:rsidR="006F5B81" w:rsidRDefault="006F5B81">
      <w:pPr>
        <w:rPr>
          <w:rFonts w:ascii="Times New Roman" w:hAnsi="Times New Roman"/>
          <w:b/>
          <w:sz w:val="24"/>
          <w:u w:val="single"/>
        </w:rPr>
      </w:pPr>
    </w:p>
    <w:p w:rsidR="006F5B81" w:rsidRDefault="006F5B81">
      <w:pPr>
        <w:rPr>
          <w:rFonts w:ascii="Times New Roman" w:hAnsi="Times New Roman"/>
          <w:sz w:val="24"/>
        </w:rPr>
      </w:pPr>
      <w:r>
        <w:rPr>
          <w:rFonts w:ascii="Times New Roman" w:hAnsi="Times New Roman"/>
          <w:b/>
          <w:sz w:val="24"/>
        </w:rPr>
        <w:t>Lab Time:</w:t>
      </w:r>
      <w:r>
        <w:rPr>
          <w:rFonts w:ascii="Times New Roman" w:hAnsi="Times New Roman"/>
          <w:b/>
          <w:sz w:val="24"/>
        </w:rPr>
        <w:tab/>
      </w:r>
      <w:r>
        <w:rPr>
          <w:rFonts w:ascii="Times New Roman" w:hAnsi="Times New Roman"/>
          <w:sz w:val="24"/>
        </w:rPr>
        <w:t>45 minutes</w:t>
      </w:r>
    </w:p>
    <w:p w:rsidR="006F5B81" w:rsidRDefault="006F5B81">
      <w:pPr>
        <w:rPr>
          <w:rFonts w:ascii="Times New Roman" w:hAnsi="Times New Roman"/>
          <w:sz w:val="24"/>
        </w:rPr>
      </w:pPr>
    </w:p>
    <w:p w:rsidR="006F5B81" w:rsidRDefault="006F5B81">
      <w:pPr>
        <w:ind w:left="446" w:hanging="446"/>
        <w:rPr>
          <w:rFonts w:ascii="Times New Roman" w:hAnsi="Times New Roman"/>
          <w:b/>
          <w:sz w:val="24"/>
        </w:rPr>
      </w:pPr>
      <w:r>
        <w:rPr>
          <w:rFonts w:ascii="Times New Roman" w:hAnsi="Times New Roman"/>
          <w:b/>
          <w:sz w:val="24"/>
        </w:rPr>
        <w:t>Answers to Questions:</w:t>
      </w:r>
    </w:p>
    <w:p w:rsidR="006F5B81" w:rsidRDefault="006F5B81">
      <w:pPr>
        <w:ind w:left="446" w:hanging="446"/>
        <w:rPr>
          <w:rFonts w:ascii="Times New Roman" w:hAnsi="Times New Roman"/>
          <w:b/>
          <w:sz w:val="24"/>
        </w:rPr>
      </w:pPr>
    </w:p>
    <w:p w:rsidR="006F5B81" w:rsidRDefault="006F5B81">
      <w:pPr>
        <w:ind w:left="450" w:right="-990" w:hanging="450"/>
        <w:rPr>
          <w:rFonts w:ascii="Times New Roman" w:hAnsi="Times New Roman"/>
          <w:sz w:val="24"/>
        </w:rPr>
      </w:pPr>
      <w:r>
        <w:rPr>
          <w:rFonts w:ascii="Times New Roman" w:hAnsi="Times New Roman"/>
          <w:sz w:val="24"/>
        </w:rPr>
        <w:t>1.</w:t>
      </w:r>
      <w:r>
        <w:rPr>
          <w:rFonts w:ascii="Times New Roman" w:hAnsi="Times New Roman"/>
          <w:sz w:val="24"/>
        </w:rPr>
        <w:tab/>
        <w:t>What is the identity of your sample?  How did you find this (include the reference)?</w:t>
      </w:r>
    </w:p>
    <w:p w:rsidR="006F5B81" w:rsidRDefault="006F5B81">
      <w:pPr>
        <w:ind w:left="450" w:right="-990" w:hanging="450"/>
        <w:rPr>
          <w:rFonts w:ascii="Times New Roman" w:hAnsi="Times New Roman"/>
          <w:sz w:val="24"/>
        </w:rPr>
      </w:pPr>
    </w:p>
    <w:p w:rsidR="006F5B81" w:rsidRDefault="006F5B81">
      <w:pPr>
        <w:ind w:left="446" w:hanging="446"/>
        <w:rPr>
          <w:rFonts w:ascii="Times New Roman" w:hAnsi="Times New Roman"/>
          <w:i/>
          <w:sz w:val="24"/>
        </w:rPr>
      </w:pPr>
      <w:r>
        <w:rPr>
          <w:rFonts w:ascii="Times New Roman" w:hAnsi="Times New Roman"/>
          <w:b/>
          <w:sz w:val="24"/>
        </w:rPr>
        <w:tab/>
      </w:r>
      <w:r>
        <w:rPr>
          <w:rFonts w:ascii="Times New Roman" w:hAnsi="Times New Roman"/>
          <w:i/>
          <w:sz w:val="24"/>
        </w:rPr>
        <w:t>Answers will vary depending upon spectrum obtained.</w:t>
      </w:r>
    </w:p>
    <w:p w:rsidR="006F5B81" w:rsidRDefault="006F5B81">
      <w:pPr>
        <w:rPr>
          <w:rFonts w:ascii="Times New Roman" w:hAnsi="Times New Roman"/>
          <w:sz w:val="24"/>
        </w:rPr>
      </w:pPr>
    </w:p>
    <w:p w:rsidR="006F5B81" w:rsidRDefault="006F5B81">
      <w:pPr>
        <w:ind w:left="450" w:right="-990" w:hanging="450"/>
        <w:rPr>
          <w:rFonts w:ascii="Times New Roman" w:hAnsi="Times New Roman"/>
          <w:sz w:val="24"/>
        </w:rPr>
      </w:pPr>
      <w:r>
        <w:rPr>
          <w:rFonts w:ascii="Times New Roman" w:hAnsi="Times New Roman"/>
          <w:sz w:val="24"/>
        </w:rPr>
        <w:t>3.</w:t>
      </w:r>
      <w:r>
        <w:rPr>
          <w:rFonts w:ascii="Times New Roman" w:hAnsi="Times New Roman"/>
          <w:sz w:val="24"/>
        </w:rPr>
        <w:tab/>
        <w:t xml:space="preserve">Some IRs use salt plates instead of an ATR to place the sample on. </w:t>
      </w:r>
      <w:proofErr w:type="gramStart"/>
      <w:r>
        <w:rPr>
          <w:rFonts w:ascii="Times New Roman" w:hAnsi="Times New Roman"/>
          <w:sz w:val="24"/>
        </w:rPr>
        <w:t>Since  salt</w:t>
      </w:r>
      <w:proofErr w:type="gramEnd"/>
      <w:r>
        <w:rPr>
          <w:rFonts w:ascii="Times New Roman" w:hAnsi="Times New Roman"/>
          <w:sz w:val="24"/>
        </w:rPr>
        <w:t xml:space="preserve"> plates can be used for this experiment, what can you conclude about the interaction of salt with infrared radiation?</w:t>
      </w:r>
    </w:p>
    <w:p w:rsidR="006F5B81" w:rsidRDefault="006F5B81">
      <w:pPr>
        <w:ind w:left="450" w:right="-990" w:hanging="450"/>
        <w:rPr>
          <w:rFonts w:ascii="Times New Roman" w:hAnsi="Times New Roman"/>
          <w:sz w:val="24"/>
        </w:rPr>
      </w:pPr>
    </w:p>
    <w:p w:rsidR="006F5B81" w:rsidRDefault="006F5B81">
      <w:pPr>
        <w:ind w:left="446" w:hanging="446"/>
        <w:rPr>
          <w:rFonts w:ascii="Times New Roman" w:hAnsi="Times New Roman"/>
          <w:i/>
          <w:sz w:val="24"/>
        </w:rPr>
      </w:pPr>
      <w:r>
        <w:rPr>
          <w:rFonts w:ascii="Times New Roman" w:hAnsi="Times New Roman"/>
          <w:b/>
          <w:sz w:val="24"/>
        </w:rPr>
        <w:tab/>
      </w:r>
      <w:proofErr w:type="spellStart"/>
      <w:r>
        <w:rPr>
          <w:rFonts w:ascii="Times New Roman" w:hAnsi="Times New Roman"/>
          <w:i/>
          <w:sz w:val="24"/>
        </w:rPr>
        <w:t>NaCl</w:t>
      </w:r>
      <w:proofErr w:type="spellEnd"/>
      <w:r>
        <w:rPr>
          <w:rFonts w:ascii="Times New Roman" w:hAnsi="Times New Roman"/>
          <w:i/>
          <w:sz w:val="24"/>
        </w:rPr>
        <w:t xml:space="preserve"> does not absorb infrared energy.</w:t>
      </w:r>
    </w:p>
    <w:p w:rsidR="006F5B81" w:rsidRDefault="006F5B81">
      <w:pPr>
        <w:ind w:left="446" w:hanging="446"/>
        <w:rPr>
          <w:rFonts w:ascii="Times New Roman" w:hAnsi="Times New Roman"/>
          <w:sz w:val="24"/>
        </w:rPr>
      </w:pPr>
    </w:p>
    <w:p w:rsidR="006F5B81" w:rsidRDefault="006F5B81">
      <w:pPr>
        <w:ind w:left="450" w:right="-990" w:hanging="450"/>
        <w:rPr>
          <w:rFonts w:ascii="Times New Roman" w:hAnsi="Times New Roman"/>
          <w:sz w:val="24"/>
        </w:rPr>
      </w:pPr>
      <w:r>
        <w:rPr>
          <w:rFonts w:ascii="Times New Roman" w:hAnsi="Times New Roman"/>
          <w:sz w:val="24"/>
        </w:rPr>
        <w:t>4.</w:t>
      </w:r>
      <w:r>
        <w:rPr>
          <w:rFonts w:ascii="Times New Roman" w:hAnsi="Times New Roman"/>
          <w:sz w:val="24"/>
        </w:rPr>
        <w:tab/>
        <w:t>How do the frequency and wavelength of infrared radiation compare with visible radiation?</w:t>
      </w:r>
    </w:p>
    <w:p w:rsidR="006F5B81" w:rsidRDefault="006F5B81">
      <w:pPr>
        <w:ind w:left="450" w:right="-990" w:hanging="450"/>
        <w:rPr>
          <w:rFonts w:ascii="Times New Roman" w:hAnsi="Times New Roman"/>
          <w:sz w:val="24"/>
        </w:rPr>
      </w:pPr>
    </w:p>
    <w:p w:rsidR="006F5B81" w:rsidRDefault="006F5B81">
      <w:pPr>
        <w:ind w:left="446" w:hanging="446"/>
        <w:rPr>
          <w:rFonts w:ascii="Times New Roman" w:hAnsi="Times New Roman"/>
          <w:sz w:val="24"/>
        </w:rPr>
      </w:pPr>
      <w:r>
        <w:rPr>
          <w:rFonts w:ascii="Times New Roman" w:hAnsi="Times New Roman"/>
          <w:b/>
          <w:sz w:val="24"/>
        </w:rPr>
        <w:tab/>
      </w:r>
      <w:r>
        <w:rPr>
          <w:rFonts w:ascii="Times New Roman" w:hAnsi="Times New Roman"/>
          <w:i/>
          <w:sz w:val="24"/>
        </w:rPr>
        <w:t>The frequency of infrared radiation is lower than visible radiation.  The wavelength of infrared radiation is longer than visible radiation.</w:t>
      </w:r>
    </w:p>
    <w:p w:rsidR="006F5B81" w:rsidRDefault="006F5B81">
      <w:pPr>
        <w:rPr>
          <w:rFonts w:ascii="Times New Roman" w:hAnsi="Times New Roman"/>
          <w:b/>
          <w:sz w:val="24"/>
        </w:rPr>
      </w:pPr>
    </w:p>
    <w:p w:rsidR="006F5B81" w:rsidRDefault="006F5B81">
      <w:pPr>
        <w:rPr>
          <w:rFonts w:ascii="Times New Roman" w:hAnsi="Times New Roman"/>
          <w:b/>
          <w:sz w:val="24"/>
        </w:rPr>
      </w:pPr>
      <w:r>
        <w:rPr>
          <w:rFonts w:ascii="Times New Roman" w:hAnsi="Times New Roman"/>
          <w:b/>
          <w:sz w:val="24"/>
        </w:rPr>
        <w:t>Considerations:</w:t>
      </w:r>
    </w:p>
    <w:p w:rsidR="006F5B81" w:rsidRDefault="006F5B81">
      <w:pPr>
        <w:rPr>
          <w:rFonts w:ascii="Times New Roman" w:hAnsi="Times New Roman"/>
          <w:b/>
          <w:sz w:val="24"/>
        </w:rPr>
      </w:pPr>
    </w:p>
    <w:p w:rsidR="006F5B81" w:rsidRDefault="006F5B81">
      <w:pPr>
        <w:rPr>
          <w:rFonts w:ascii="Times New Roman" w:hAnsi="Times New Roman"/>
          <w:sz w:val="24"/>
        </w:rPr>
      </w:pPr>
      <w:r>
        <w:rPr>
          <w:rFonts w:ascii="Times New Roman" w:hAnsi="Times New Roman"/>
          <w:sz w:val="24"/>
        </w:rPr>
        <w:t>Even though small amounts of each organic substance are used, caution should be exercised when using some of the substances so as not to get them on skin.  Some substances can be very volatile and expel from the pipet without applying any pressure to the bulb.  This is due to increased vapor pressure.  Analyze volatile samples promptly so that the sample does not completely evaporate during the analysis.</w:t>
      </w:r>
    </w:p>
    <w:p w:rsidR="006F5B81" w:rsidRDefault="006F5B81">
      <w:pPr>
        <w:rPr>
          <w:rFonts w:ascii="Times New Roman" w:hAnsi="Times New Roman"/>
          <w:sz w:val="24"/>
        </w:rPr>
      </w:pPr>
    </w:p>
    <w:p w:rsidR="006F5B81" w:rsidRDefault="006F5B81">
      <w:pPr>
        <w:rPr>
          <w:rFonts w:ascii="Times New Roman" w:hAnsi="Times New Roman"/>
          <w:sz w:val="24"/>
        </w:rPr>
      </w:pPr>
      <w:r>
        <w:rPr>
          <w:rFonts w:ascii="Times New Roman" w:hAnsi="Times New Roman"/>
          <w:sz w:val="24"/>
        </w:rPr>
        <w:t>When analyzing the spectra, you may wish to provide the students with a library of pre-run spectra and have them identify their sample by the comparison of spectra.  Another way to analyze the spectrum would be to have students identify functional groups represented by major peaks on the spectrum in the region from 4000 cm</w:t>
      </w:r>
      <w:r>
        <w:rPr>
          <w:rFonts w:ascii="Times New Roman" w:hAnsi="Times New Roman"/>
          <w:sz w:val="24"/>
          <w:vertAlign w:val="superscript"/>
        </w:rPr>
        <w:t>-1</w:t>
      </w:r>
      <w:r>
        <w:rPr>
          <w:rFonts w:ascii="Times New Roman" w:hAnsi="Times New Roman"/>
          <w:sz w:val="24"/>
        </w:rPr>
        <w:t xml:space="preserve"> to 1500 cm</w:t>
      </w:r>
      <w:r>
        <w:rPr>
          <w:rFonts w:ascii="Times New Roman" w:hAnsi="Times New Roman"/>
          <w:sz w:val="24"/>
          <w:vertAlign w:val="superscript"/>
        </w:rPr>
        <w:t>-1</w:t>
      </w:r>
      <w:r>
        <w:rPr>
          <w:rFonts w:ascii="Times New Roman" w:hAnsi="Times New Roman"/>
          <w:sz w:val="24"/>
        </w:rPr>
        <w:t>.  Providing students with possible structures of the substance helps them to identify their substance by selecting the compound with the same functional groups.  Some basic organic knowledge may be helpful.  For advanced students with prior knowledge of analyzing spectra, you may wish for the unknown to be a true unknown and have students propose a possible structure based on the functional groups identified.</w:t>
      </w:r>
    </w:p>
    <w:p w:rsidR="006F5B81" w:rsidRDefault="006F5B81">
      <w:pPr>
        <w:rPr>
          <w:rFonts w:ascii="Times New Roman" w:hAnsi="Times New Roman"/>
          <w:sz w:val="24"/>
        </w:rPr>
      </w:pPr>
    </w:p>
    <w:p w:rsidR="006F5B81" w:rsidRDefault="006F5B81" w:rsidP="008B50E3">
      <w:pPr>
        <w:rPr>
          <w:rFonts w:ascii="Times New Roman" w:hAnsi="Times New Roman"/>
          <w:sz w:val="24"/>
        </w:rPr>
      </w:pPr>
      <w:r>
        <w:rPr>
          <w:rFonts w:ascii="Times New Roman" w:hAnsi="Times New Roman"/>
          <w:sz w:val="24"/>
        </w:rPr>
        <w:t>The region from 1500 cm</w:t>
      </w:r>
      <w:r>
        <w:rPr>
          <w:rFonts w:ascii="Times New Roman" w:hAnsi="Times New Roman"/>
          <w:sz w:val="24"/>
          <w:vertAlign w:val="superscript"/>
        </w:rPr>
        <w:t>-1</w:t>
      </w:r>
      <w:r>
        <w:rPr>
          <w:rFonts w:ascii="Times New Roman" w:hAnsi="Times New Roman"/>
          <w:sz w:val="24"/>
        </w:rPr>
        <w:t xml:space="preserve"> to 600 cm</w:t>
      </w:r>
      <w:r>
        <w:rPr>
          <w:rFonts w:ascii="Times New Roman" w:hAnsi="Times New Roman"/>
          <w:sz w:val="24"/>
          <w:vertAlign w:val="superscript"/>
        </w:rPr>
        <w:t>-1</w:t>
      </w:r>
      <w:r>
        <w:rPr>
          <w:rFonts w:ascii="Times New Roman" w:hAnsi="Times New Roman"/>
          <w:sz w:val="24"/>
        </w:rPr>
        <w:t xml:space="preserve"> is referred to as the fingerprint region and is unique to the substances.</w:t>
      </w:r>
    </w:p>
    <w:p w:rsidR="008B50E3" w:rsidRDefault="008B50E3">
      <w:pPr>
        <w:rPr>
          <w:rFonts w:ascii="Times New Roman" w:hAnsi="Times New Roman"/>
          <w:b/>
          <w:bCs/>
          <w:sz w:val="24"/>
        </w:rPr>
      </w:pPr>
      <w:r>
        <w:rPr>
          <w:sz w:val="24"/>
        </w:rPr>
        <w:br w:type="page"/>
      </w:r>
    </w:p>
    <w:p w:rsidR="006F5B81" w:rsidRDefault="006F5B81">
      <w:pPr>
        <w:pStyle w:val="Heading1"/>
        <w:rPr>
          <w:sz w:val="24"/>
        </w:rPr>
      </w:pPr>
      <w:r>
        <w:rPr>
          <w:sz w:val="24"/>
        </w:rPr>
        <w:lastRenderedPageBreak/>
        <w:t>Possible Structures of Unknowns</w:t>
      </w:r>
    </w:p>
    <w:p w:rsidR="006F5B81" w:rsidRDefault="006F5B81">
      <w:pPr>
        <w:jc w:val="center"/>
        <w:rPr>
          <w:rFonts w:ascii="Times New Roman" w:hAnsi="Times New Roman"/>
          <w:b/>
          <w:bCs/>
          <w:sz w:val="24"/>
        </w:rPr>
      </w:pPr>
    </w:p>
    <w:p w:rsidR="006F5B81" w:rsidRDefault="008B50E3">
      <w:pPr>
        <w:rPr>
          <w:rFonts w:ascii="Times New Roman" w:hAnsi="Times New Roman"/>
          <w:sz w:val="24"/>
        </w:rPr>
      </w:pPr>
      <w:r>
        <w:object w:dxaOrig="9996" w:dyaOrig="82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Chemical structures" style="width:6in;height:354.75pt" o:ole="">
            <v:imagedata r:id="rId14" o:title=""/>
          </v:shape>
          <o:OLEObject Type="Embed" ProgID="ChemDraw.Document.4.5" ShapeID="_x0000_i1028" DrawAspect="Content" ObjectID="_1648536887" r:id="rId15"/>
        </w:object>
      </w:r>
      <w:bookmarkStart w:id="0" w:name="_GoBack"/>
      <w:bookmarkEnd w:id="0"/>
    </w:p>
    <w:p w:rsidR="006F5B81" w:rsidRDefault="006F5B81">
      <w:pPr>
        <w:tabs>
          <w:tab w:val="left" w:pos="7398"/>
        </w:tabs>
        <w:rPr>
          <w:rFonts w:ascii="Times New Roman" w:hAnsi="Times New Roman"/>
          <w:sz w:val="24"/>
        </w:rPr>
      </w:pPr>
    </w:p>
    <w:sectPr w:rsidR="006F5B81">
      <w:type w:val="continuous"/>
      <w:pgSz w:w="12240" w:h="15840"/>
      <w:pgMar w:top="1440" w:right="1800" w:bottom="720" w:left="18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B50E3">
      <w:r>
        <w:separator/>
      </w:r>
    </w:p>
  </w:endnote>
  <w:endnote w:type="continuationSeparator" w:id="0">
    <w:p w:rsidR="00000000" w:rsidRDefault="008B5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82C" w:rsidRDefault="004F082C">
    <w:pPr>
      <w:pStyle w:val="Footer"/>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8B50E3">
      <w:rPr>
        <w:noProof/>
        <w:snapToGrid w:val="0"/>
      </w:rPr>
      <w:t>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8B50E3">
      <w:rPr>
        <w:noProof/>
        <w:snapToGrid w:val="0"/>
      </w:rPr>
      <w:t>8</w:t>
    </w:r>
    <w:r>
      <w:rPr>
        <w:snapToGrid w:val="0"/>
      </w:rPr>
      <w:fldChar w:fldCharType="end"/>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B81" w:rsidRDefault="006F5B81">
    <w:pPr>
      <w:pStyle w:val="Footer"/>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8B50E3">
      <w:rPr>
        <w:noProof/>
        <w:snapToGrid w:val="0"/>
      </w:rPr>
      <w:t>8</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8B50E3">
      <w:rPr>
        <w:noProof/>
        <w:snapToGrid w:val="0"/>
      </w:rPr>
      <w:t>8</w:t>
    </w:r>
    <w:r>
      <w:rPr>
        <w:snapToGrid w:val="0"/>
      </w:rPr>
      <w:fldChar w:fldCharType="end"/>
    </w:r>
    <w:r>
      <w:tab/>
      <w:t>IR-I-</w:t>
    </w:r>
    <w:r>
      <w:rPr>
        <w:rStyle w:val="PageNumber"/>
      </w:rPr>
      <w:fldChar w:fldCharType="begin"/>
    </w:r>
    <w:r>
      <w:rPr>
        <w:rStyle w:val="PageNumber"/>
      </w:rPr>
      <w:instrText xml:space="preserve"> PAGE </w:instrText>
    </w:r>
    <w:r>
      <w:rPr>
        <w:rStyle w:val="PageNumber"/>
      </w:rPr>
      <w:fldChar w:fldCharType="separate"/>
    </w:r>
    <w:r w:rsidR="008B50E3">
      <w:rPr>
        <w:rStyle w:val="PageNumber"/>
        <w:noProof/>
      </w:rPr>
      <w:t>8</w:t>
    </w:r>
    <w:r>
      <w:rPr>
        <w:rStyle w:val="PageNumber"/>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B50E3">
      <w:r>
        <w:separator/>
      </w:r>
    </w:p>
  </w:footnote>
  <w:footnote w:type="continuationSeparator" w:id="0">
    <w:p w:rsidR="00000000" w:rsidRDefault="008B50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82C" w:rsidRDefault="004F082C">
    <w:pPr>
      <w:pStyle w:val="Header"/>
    </w:pPr>
    <w:smartTag w:uri="urn:schemas-microsoft-com:office:smarttags" w:element="place">
      <w:smartTag w:uri="urn:schemas-microsoft-com:office:smarttags" w:element="PlaceName">
        <w:r>
          <w:t>Ursinus</w:t>
        </w:r>
      </w:smartTag>
      <w:r>
        <w:t xml:space="preserve"> </w:t>
      </w:r>
      <w:smartTag w:uri="urn:schemas-microsoft-com:office:smarttags" w:element="PlaceType">
        <w:r>
          <w:t>College</w:t>
        </w:r>
      </w:smartTag>
    </w:smartTag>
  </w:p>
  <w:p w:rsidR="004F082C" w:rsidRDefault="004F082C">
    <w:pPr>
      <w:pStyle w:val="Header"/>
    </w:pPr>
    <w:r>
      <w:t>Science in Motion</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B81" w:rsidRDefault="006F5B81">
    <w:pPr>
      <w:pStyle w:val="Header"/>
    </w:pPr>
    <w:smartTag w:uri="urn:schemas-microsoft-com:office:smarttags" w:element="place">
      <w:smartTag w:uri="urn:schemas-microsoft-com:office:smarttags" w:element="PlaceName">
        <w:r>
          <w:t>Ursinus</w:t>
        </w:r>
      </w:smartTag>
      <w:r>
        <w:t xml:space="preserve"> </w:t>
      </w:r>
      <w:smartTag w:uri="urn:schemas-microsoft-com:office:smarttags" w:element="PlaceType">
        <w:r>
          <w:t>College</w:t>
        </w:r>
      </w:smartTag>
    </w:smartTag>
  </w:p>
  <w:p w:rsidR="006F5B81" w:rsidRDefault="006F5B81">
    <w:pPr>
      <w:pStyle w:val="Header"/>
    </w:pPr>
    <w:r>
      <w:t>Science in Motion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053C4"/>
    <w:multiLevelType w:val="hybridMultilevel"/>
    <w:tmpl w:val="A2D0A8F6"/>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03A45FA"/>
    <w:multiLevelType w:val="multilevel"/>
    <w:tmpl w:val="708A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74BE1"/>
    <w:multiLevelType w:val="multilevel"/>
    <w:tmpl w:val="04090027"/>
    <w:lvl w:ilvl="0">
      <w:start w:val="1"/>
      <w:numFmt w:val="upperRoman"/>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 w15:restartNumberingAfterBreak="0">
    <w:nsid w:val="17432698"/>
    <w:multiLevelType w:val="hybridMultilevel"/>
    <w:tmpl w:val="059C9388"/>
    <w:lvl w:ilvl="0" w:tplc="AC9A2990">
      <w:start w:val="1"/>
      <w:numFmt w:val="decimal"/>
      <w:lvlText w:val="%1."/>
      <w:lvlJc w:val="left"/>
      <w:pPr>
        <w:tabs>
          <w:tab w:val="num" w:pos="810"/>
        </w:tabs>
        <w:ind w:left="810" w:hanging="4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F62047E"/>
    <w:multiLevelType w:val="hybridMultilevel"/>
    <w:tmpl w:val="178CD52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7B854EA"/>
    <w:multiLevelType w:val="hybridMultilevel"/>
    <w:tmpl w:val="A9C0D14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82C"/>
    <w:rsid w:val="004F082C"/>
    <w:rsid w:val="006F5B81"/>
    <w:rsid w:val="00860FB4"/>
    <w:rsid w:val="008B5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14:docId w14:val="5BD7D800"/>
  <w15:chartTrackingRefBased/>
  <w15:docId w15:val="{14E7EB34-BF2C-4C60-9A09-85E42A46D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New Roman" w:hAnsi="Times"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jc w:val="center"/>
      <w:outlineLvl w:val="0"/>
    </w:pPr>
    <w:rPr>
      <w:rFonts w:ascii="Times New Roman" w:hAnsi="Times New Roman"/>
      <w:b/>
      <w:bCs/>
      <w:sz w:val="28"/>
    </w:rPr>
  </w:style>
  <w:style w:type="paragraph" w:styleId="Heading2">
    <w:name w:val="heading 2"/>
    <w:basedOn w:val="Normal"/>
    <w:next w:val="Normal"/>
    <w:qFormat/>
    <w:pPr>
      <w:keepNext/>
      <w:outlineLvl w:val="1"/>
    </w:pPr>
    <w:rPr>
      <w:rFonts w:ascii="Times New Roman" w:hAnsi="Times New Roman"/>
      <w:sz w:val="24"/>
    </w:rPr>
  </w:style>
  <w:style w:type="paragraph" w:styleId="Heading3">
    <w:name w:val="heading 3"/>
    <w:basedOn w:val="Normal"/>
    <w:next w:val="Normal"/>
    <w:qFormat/>
    <w:pPr>
      <w:keepNext/>
      <w:outlineLvl w:val="2"/>
    </w:pPr>
    <w:rPr>
      <w:rFonts w:ascii="Times New Roman" w:hAnsi="Times New Roman"/>
      <w:b/>
      <w:bCs/>
      <w:i/>
      <w:iCs/>
      <w:sz w:val="24"/>
    </w:rPr>
  </w:style>
  <w:style w:type="paragraph" w:styleId="Heading4">
    <w:name w:val="heading 4"/>
    <w:basedOn w:val="Normal"/>
    <w:next w:val="Normal"/>
    <w:qFormat/>
    <w:pPr>
      <w:keepNext/>
      <w:outlineLvl w:val="3"/>
    </w:pPr>
    <w:rPr>
      <w:rFonts w:ascii="Times New Roman" w:hAnsi="Times New Roman"/>
      <w:i/>
      <w:iCs/>
      <w:sz w:val="24"/>
    </w:rPr>
  </w:style>
  <w:style w:type="paragraph" w:styleId="Heading5">
    <w:name w:val="heading 5"/>
    <w:basedOn w:val="Normal"/>
    <w:next w:val="Normal"/>
    <w:qFormat/>
    <w:pPr>
      <w:keepNext/>
      <w:outlineLvl w:val="4"/>
    </w:pPr>
    <w:rPr>
      <w:rFonts w:ascii="Times New Roman" w:hAnsi="Times New Roman"/>
      <w:b/>
      <w:bCs/>
      <w:sz w:val="24"/>
    </w:rPr>
  </w:style>
  <w:style w:type="paragraph" w:styleId="Heading6">
    <w:name w:val="heading 6"/>
    <w:basedOn w:val="Normal"/>
    <w:next w:val="Normal"/>
    <w:qFormat/>
    <w:pPr>
      <w:keepNext/>
      <w:outlineLvl w:val="5"/>
    </w:pPr>
    <w:rPr>
      <w:rFonts w:ascii="Times New Roman" w:hAnsi="Times New Roman"/>
      <w:i/>
      <w:iCs/>
      <w:sz w:val="24"/>
      <w:u w:val="single"/>
    </w:rPr>
  </w:style>
  <w:style w:type="paragraph" w:styleId="Heading7">
    <w:name w:val="heading 7"/>
    <w:basedOn w:val="Normal"/>
    <w:next w:val="Normal"/>
    <w:qFormat/>
    <w:pPr>
      <w:spacing w:before="240" w:after="60"/>
      <w:outlineLvl w:val="6"/>
    </w:pPr>
    <w:rPr>
      <w:rFonts w:ascii="Times New Roman" w:hAnsi="Times New Roman"/>
      <w:sz w:val="24"/>
      <w:szCs w:val="24"/>
    </w:rPr>
  </w:style>
  <w:style w:type="paragraph" w:styleId="Heading8">
    <w:name w:val="heading 8"/>
    <w:basedOn w:val="Normal"/>
    <w:next w:val="Normal"/>
    <w:qFormat/>
    <w:pPr>
      <w:spacing w:before="240" w:after="60"/>
      <w:outlineLvl w:val="7"/>
    </w:pPr>
    <w:rPr>
      <w:rFonts w:ascii="Times New Roman" w:hAnsi="Times New Roman"/>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rFonts w:ascii="Times New Roman" w:hAnsi="Times New Roman"/>
      <w:b/>
      <w:smallCaps/>
      <w:sz w:val="28"/>
    </w:rPr>
  </w:style>
  <w:style w:type="paragraph" w:styleId="BodyTextIndent">
    <w:name w:val="Body Text Indent"/>
    <w:basedOn w:val="Normal"/>
    <w:pPr>
      <w:ind w:left="144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1319</Words>
  <Characters>7319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SPECTRA OF PURE LIQUIDS</vt:lpstr>
    </vt:vector>
  </TitlesOfParts>
  <Company>.</Company>
  <LinksUpToDate>false</LinksUpToDate>
  <CharactersWithSpaces>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SPECTRA OF PURE LIQUIDS</dc:title>
  <dc:subject/>
  <dc:creator>Academic Computer Center</dc:creator>
  <cp:keywords/>
  <cp:lastModifiedBy>Benfer, Erin</cp:lastModifiedBy>
  <cp:revision>3</cp:revision>
  <cp:lastPrinted>2002-12-20T14:53:00Z</cp:lastPrinted>
  <dcterms:created xsi:type="dcterms:W3CDTF">2020-04-16T14:01:00Z</dcterms:created>
  <dcterms:modified xsi:type="dcterms:W3CDTF">2020-04-16T14:08:00Z</dcterms:modified>
</cp:coreProperties>
</file>